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114300" distR="114300">
            <wp:extent cx="933450" cy="904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33450" cy="904875"/>
                    </a:xfrm>
                    <a:prstGeom prst="rect">
                      <a:avLst/>
                    </a:prstGeom>
                    <a:noFill/>
                    <a:ln w="9525">
                      <a:noFill/>
                    </a:ln>
                  </pic:spPr>
                </pic:pic>
              </a:graphicData>
            </a:graphic>
          </wp:inline>
        </w:drawing>
      </w:r>
    </w:p>
    <w:p>
      <w:pPr>
        <w:jc w:val="center"/>
        <w:rPr>
          <w:sz w:val="32"/>
          <w:szCs w:val="32"/>
        </w:rPr>
      </w:pPr>
      <w:r>
        <w:rPr>
          <w:sz w:val="32"/>
          <w:szCs w:val="32"/>
        </w:rPr>
        <w:drawing>
          <wp:inline distT="0" distB="0" distL="114300" distR="114300">
            <wp:extent cx="3314700" cy="1104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14700" cy="1104900"/>
                    </a:xfrm>
                    <a:prstGeom prst="rect">
                      <a:avLst/>
                    </a:prstGeom>
                    <a:noFill/>
                    <a:ln w="9525">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项目名称：长江大学西校区学生服务大厅办公电脑采购</w:t>
      </w:r>
    </w:p>
    <w:p>
      <w:pPr>
        <w:ind w:firstLine="560" w:firstLineChars="200"/>
        <w:jc w:val="left"/>
        <w:rPr>
          <w:sz w:val="28"/>
          <w:szCs w:val="28"/>
        </w:rPr>
      </w:pPr>
      <w:r>
        <w:rPr>
          <w:rFonts w:hint="eastAsia" w:cs="宋体"/>
          <w:sz w:val="28"/>
          <w:szCs w:val="28"/>
        </w:rPr>
        <w:t>项目编号：CDCG2017-</w:t>
      </w:r>
      <w:r>
        <w:rPr>
          <w:rFonts w:hint="eastAsia" w:cs="宋体"/>
          <w:sz w:val="28"/>
          <w:szCs w:val="28"/>
          <w:lang w:val="en-US" w:eastAsia="zh-CN"/>
        </w:rPr>
        <w:t>075</w:t>
      </w:r>
    </w:p>
    <w:p>
      <w:pPr>
        <w:ind w:firstLine="560" w:firstLineChars="200"/>
        <w:jc w:val="left"/>
        <w:rPr>
          <w:sz w:val="28"/>
          <w:szCs w:val="28"/>
        </w:rPr>
      </w:pPr>
      <w:r>
        <w:rPr>
          <w:rFonts w:hint="eastAsia" w:cs="宋体"/>
          <w:sz w:val="28"/>
          <w:szCs w:val="28"/>
        </w:rPr>
        <w:t>采购单位：学生工作处</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年10月</w:t>
      </w:r>
    </w:p>
    <w:p>
      <w:pPr>
        <w:jc w:val="center"/>
        <w:rPr>
          <w:sz w:val="28"/>
          <w:szCs w:val="28"/>
        </w:rPr>
      </w:pP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○一七年十月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w:t>
      </w:r>
      <w:r>
        <w:rPr>
          <w:rFonts w:ascii="仿宋_GB2312" w:eastAsia="仿宋_GB2312" w:cs="仿宋_GB2312"/>
        </w:rPr>
        <w:t xml:space="preserve">  </w:t>
      </w:r>
      <w:r>
        <w:rPr>
          <w:rFonts w:hint="eastAsia" w:ascii="仿宋_GB2312" w:eastAsia="仿宋_GB2312" w:cs="仿宋_GB2312"/>
        </w:rPr>
        <w:t>询价邀请函</w:t>
      </w:r>
    </w:p>
    <w:p>
      <w:pPr>
        <w:spacing w:line="360" w:lineRule="auto"/>
        <w:rPr>
          <w:rFonts w:ascii="宋体"/>
          <w:sz w:val="24"/>
        </w:rPr>
      </w:pPr>
      <w:r>
        <w:rPr>
          <w:rFonts w:hint="eastAsia" w:ascii="宋体"/>
          <w:sz w:val="24"/>
        </w:rPr>
        <w:t xml:space="preserve">    长江大学学工处拟对“长江大学西校区学生服务大厅办公电脑家具采购”项目所需货物进行询价采购工作，欢迎符合条件的供应商参与。</w:t>
      </w:r>
    </w:p>
    <w:p>
      <w:pPr>
        <w:numPr>
          <w:ilvl w:val="0"/>
          <w:numId w:val="1"/>
        </w:numPr>
        <w:spacing w:line="360" w:lineRule="auto"/>
        <w:rPr>
          <w:rFonts w:ascii="宋体"/>
          <w:sz w:val="24"/>
        </w:rPr>
      </w:pPr>
      <w:r>
        <w:rPr>
          <w:rFonts w:hint="eastAsia" w:ascii="宋体"/>
          <w:sz w:val="24"/>
        </w:rPr>
        <w:t>采购项目编号：CDCG2017-</w:t>
      </w:r>
      <w:r>
        <w:rPr>
          <w:rFonts w:hint="eastAsia" w:ascii="宋体"/>
          <w:sz w:val="24"/>
          <w:lang w:val="en-US" w:eastAsia="zh-CN"/>
        </w:rPr>
        <w:t>075</w:t>
      </w:r>
    </w:p>
    <w:p>
      <w:pPr>
        <w:spacing w:line="360" w:lineRule="auto"/>
        <w:rPr>
          <w:rFonts w:ascii="宋体"/>
          <w:sz w:val="24"/>
        </w:rPr>
      </w:pPr>
      <w:r>
        <w:rPr>
          <w:rFonts w:hint="eastAsia" w:ascii="宋体"/>
          <w:sz w:val="24"/>
        </w:rPr>
        <w:t>二、采购项目名称：长江大学西校区学生服务大厅办公电脑采购</w:t>
      </w:r>
    </w:p>
    <w:p>
      <w:pPr>
        <w:spacing w:line="360" w:lineRule="auto"/>
        <w:rPr>
          <w:rFonts w:ascii="宋体"/>
          <w:sz w:val="24"/>
        </w:rPr>
      </w:pPr>
      <w:r>
        <w:rPr>
          <w:rFonts w:hint="eastAsia" w:ascii="宋体"/>
          <w:sz w:val="24"/>
        </w:rPr>
        <w:t>三、采购内容：</w:t>
      </w:r>
    </w:p>
    <w:p>
      <w:pPr>
        <w:spacing w:line="360" w:lineRule="auto"/>
        <w:ind w:firstLine="480" w:firstLineChars="200"/>
        <w:rPr>
          <w:rFonts w:ascii="宋体"/>
          <w:sz w:val="24"/>
        </w:rPr>
      </w:pPr>
      <w:r>
        <w:rPr>
          <w:rFonts w:hint="eastAsia" w:ascii="宋体"/>
          <w:sz w:val="24"/>
        </w:rPr>
        <w:t>台式计算机、多功能打印机等办公电脑一批；</w:t>
      </w:r>
    </w:p>
    <w:p>
      <w:pPr>
        <w:spacing w:line="360" w:lineRule="auto"/>
        <w:rPr>
          <w:rFonts w:ascii="宋体"/>
          <w:sz w:val="24"/>
        </w:rPr>
      </w:pPr>
      <w:r>
        <w:rPr>
          <w:rFonts w:hint="eastAsia" w:ascii="宋体"/>
          <w:sz w:val="24"/>
        </w:rPr>
        <w:t>四、采购方式：询价采购（预算金额：4.8万元）</w:t>
      </w:r>
    </w:p>
    <w:p>
      <w:pPr>
        <w:spacing w:line="360" w:lineRule="auto"/>
        <w:rPr>
          <w:rFonts w:ascii="宋体"/>
          <w:sz w:val="24"/>
        </w:rPr>
      </w:pPr>
      <w:r>
        <w:rPr>
          <w:rFonts w:hint="eastAsia" w:ascii="宋体"/>
          <w:sz w:val="24"/>
        </w:rPr>
        <w:t>五、投标人资格要求</w:t>
      </w:r>
    </w:p>
    <w:p>
      <w:pPr>
        <w:spacing w:line="360" w:lineRule="auto"/>
        <w:ind w:firstLine="480" w:firstLineChars="200"/>
        <w:rPr>
          <w:rFonts w:ascii="宋体"/>
          <w:sz w:val="24"/>
        </w:rPr>
      </w:pPr>
      <w:r>
        <w:rPr>
          <w:rFonts w:ascii="宋体"/>
          <w:sz w:val="24"/>
        </w:rPr>
        <w:t>1</w:t>
      </w:r>
      <w:r>
        <w:rPr>
          <w:rFonts w:hint="eastAsia" w:ascii="宋体"/>
          <w:sz w:val="24"/>
        </w:rPr>
        <w:t>、投标人应具备《政府采购法》第二十二条规定的条件，且是是中华人民共和国境内注册并取得营业执照的独立法人或其他组织；</w:t>
      </w:r>
    </w:p>
    <w:p>
      <w:pPr>
        <w:spacing w:line="360" w:lineRule="auto"/>
        <w:ind w:firstLine="480" w:firstLineChars="200"/>
        <w:rPr>
          <w:rFonts w:ascii="宋体"/>
          <w:sz w:val="24"/>
        </w:rPr>
      </w:pPr>
      <w:r>
        <w:rPr>
          <w:rFonts w:ascii="宋体"/>
          <w:sz w:val="24"/>
        </w:rPr>
        <w:t>2</w:t>
      </w:r>
      <w:r>
        <w:rPr>
          <w:rFonts w:hint="eastAsia" w:ascii="宋体"/>
          <w:sz w:val="24"/>
        </w:rPr>
        <w:t>、投标人必须具有良好的售后服务机构；</w:t>
      </w:r>
    </w:p>
    <w:p>
      <w:pPr>
        <w:spacing w:line="360" w:lineRule="auto"/>
        <w:ind w:firstLine="480" w:firstLineChars="200"/>
        <w:rPr>
          <w:rFonts w:ascii="宋体"/>
          <w:sz w:val="24"/>
        </w:rPr>
      </w:pPr>
      <w:r>
        <w:rPr>
          <w:rFonts w:ascii="宋体"/>
          <w:sz w:val="24"/>
        </w:rPr>
        <w:t>3</w:t>
      </w:r>
      <w:r>
        <w:rPr>
          <w:rFonts w:hint="eastAsia" w:ascii="宋体"/>
          <w:sz w:val="24"/>
        </w:rPr>
        <w:t>、投标人必须有相应的经营范围；</w:t>
      </w:r>
    </w:p>
    <w:p>
      <w:pPr>
        <w:spacing w:line="360" w:lineRule="auto"/>
        <w:ind w:firstLine="480" w:firstLineChars="200"/>
        <w:rPr>
          <w:rFonts w:ascii="宋体"/>
          <w:sz w:val="24"/>
        </w:rPr>
      </w:pPr>
      <w:r>
        <w:rPr>
          <w:rFonts w:ascii="宋体"/>
          <w:sz w:val="24"/>
        </w:rPr>
        <w:t>4</w:t>
      </w:r>
      <w:r>
        <w:rPr>
          <w:rFonts w:hint="eastAsia" w:ascii="宋体"/>
          <w:sz w:val="24"/>
        </w:rPr>
        <w:t>、投标人在“信用中国”（</w:t>
      </w:r>
      <w:r>
        <w:rPr>
          <w:rFonts w:ascii="宋体"/>
          <w:sz w:val="24"/>
        </w:rPr>
        <w:t>www.creditchina.gov.cn</w:t>
      </w:r>
      <w:r>
        <w:rPr>
          <w:rFonts w:hint="eastAsia" w:ascii="宋体"/>
          <w:sz w:val="24"/>
        </w:rPr>
        <w:t>）网站中未被列入失信被执行人、重大税收违法案件当事人名单、政府采购严重违法失信行为记录名单；</w:t>
      </w:r>
    </w:p>
    <w:p>
      <w:pPr>
        <w:spacing w:line="360" w:lineRule="auto"/>
        <w:ind w:firstLine="480" w:firstLineChars="200"/>
        <w:rPr>
          <w:rFonts w:ascii="宋体"/>
          <w:sz w:val="24"/>
        </w:rPr>
      </w:pPr>
      <w:r>
        <w:rPr>
          <w:rFonts w:hint="eastAsia" w:ascii="宋体"/>
          <w:sz w:val="24"/>
        </w:rPr>
        <w:t>5.本项目不接受联合体投标。</w:t>
      </w:r>
    </w:p>
    <w:p>
      <w:pPr>
        <w:spacing w:line="360" w:lineRule="auto"/>
        <w:rPr>
          <w:rFonts w:ascii="宋体"/>
          <w:sz w:val="24"/>
        </w:rPr>
      </w:pPr>
      <w:r>
        <w:rPr>
          <w:rFonts w:hint="eastAsia" w:ascii="宋体"/>
          <w:sz w:val="24"/>
        </w:rPr>
        <w:t>六、询价文件的发售（每份</w:t>
      </w:r>
      <w:r>
        <w:rPr>
          <w:rFonts w:ascii="宋体"/>
          <w:sz w:val="24"/>
        </w:rPr>
        <w:t>100</w:t>
      </w:r>
      <w:r>
        <w:rPr>
          <w:rFonts w:hint="eastAsia" w:ascii="宋体"/>
          <w:sz w:val="24"/>
        </w:rPr>
        <w:t>元，无论中标与否费用不退还）：</w:t>
      </w:r>
    </w:p>
    <w:p>
      <w:pPr>
        <w:spacing w:line="360" w:lineRule="auto"/>
        <w:ind w:firstLine="480" w:firstLineChars="200"/>
        <w:rPr>
          <w:rFonts w:ascii="宋体"/>
          <w:sz w:val="24"/>
        </w:rPr>
      </w:pPr>
      <w:r>
        <w:rPr>
          <w:rFonts w:hint="eastAsia" w:ascii="宋体"/>
          <w:sz w:val="24"/>
        </w:rPr>
        <w:t>投标人必须携带：营业执照副本、税务登记证副本、组织机构代码证副本、法人授权委托书及被委托人身份证等材料的原件和复印件（复印件加盖公章且不退）；</w:t>
      </w:r>
    </w:p>
    <w:p>
      <w:pPr>
        <w:spacing w:line="360" w:lineRule="auto"/>
        <w:rPr>
          <w:rFonts w:ascii="宋体"/>
          <w:sz w:val="24"/>
        </w:rPr>
      </w:pPr>
      <w:r>
        <w:rPr>
          <w:rFonts w:hint="eastAsia" w:ascii="宋体"/>
          <w:sz w:val="24"/>
        </w:rPr>
        <w:t>　　报名时间：</w:t>
      </w:r>
      <w:r>
        <w:rPr>
          <w:rFonts w:ascii="宋体"/>
          <w:sz w:val="24"/>
        </w:rPr>
        <w:t>2017</w:t>
      </w:r>
      <w:r>
        <w:rPr>
          <w:rFonts w:hint="eastAsia" w:ascii="宋体"/>
          <w:sz w:val="24"/>
        </w:rPr>
        <w:t>年10月21日至</w:t>
      </w:r>
      <w:r>
        <w:rPr>
          <w:rFonts w:ascii="宋体"/>
          <w:sz w:val="24"/>
        </w:rPr>
        <w:t>201</w:t>
      </w:r>
      <w:r>
        <w:rPr>
          <w:rFonts w:hint="eastAsia" w:ascii="宋体"/>
          <w:sz w:val="24"/>
        </w:rPr>
        <w:t>7年10月23日每天上午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16:00</w:t>
      </w:r>
      <w:r>
        <w:rPr>
          <w:rFonts w:hint="eastAsia" w:ascii="宋体"/>
          <w:sz w:val="24"/>
        </w:rPr>
        <w:t>时（节假日不休）</w:t>
      </w:r>
    </w:p>
    <w:p>
      <w:pPr>
        <w:spacing w:line="360" w:lineRule="auto"/>
        <w:ind w:firstLine="480" w:firstLineChars="200"/>
        <w:rPr>
          <w:rFonts w:ascii="宋体"/>
          <w:sz w:val="24"/>
        </w:rPr>
      </w:pPr>
      <w:r>
        <w:rPr>
          <w:rFonts w:hint="eastAsia" w:ascii="宋体"/>
          <w:sz w:val="24"/>
        </w:rPr>
        <w:t>地　点：长江大学东校区工字楼109室</w:t>
      </w:r>
    </w:p>
    <w:p>
      <w:pPr>
        <w:spacing w:line="360" w:lineRule="auto"/>
        <w:ind w:firstLine="480" w:firstLineChars="200"/>
        <w:rPr>
          <w:rFonts w:ascii="宋体"/>
          <w:b/>
          <w:sz w:val="24"/>
        </w:rPr>
      </w:pPr>
      <w:r>
        <w:rPr>
          <w:rFonts w:hint="eastAsia" w:ascii="宋体"/>
          <w:sz w:val="24"/>
        </w:rPr>
        <w:t>联系人：娄君庭</w:t>
      </w:r>
      <w:r>
        <w:rPr>
          <w:rFonts w:ascii="宋体"/>
          <w:sz w:val="24"/>
        </w:rPr>
        <w:t xml:space="preserve">    </w:t>
      </w:r>
      <w:r>
        <w:rPr>
          <w:rFonts w:hint="eastAsia" w:ascii="宋体"/>
          <w:sz w:val="24"/>
        </w:rPr>
        <w:t>联系电话</w:t>
      </w:r>
      <w:r>
        <w:rPr>
          <w:rFonts w:hint="eastAsia" w:ascii="宋体"/>
          <w:b/>
          <w:sz w:val="24"/>
        </w:rPr>
        <w:t>：</w:t>
      </w:r>
      <w:r>
        <w:rPr>
          <w:rFonts w:hint="eastAsia" w:ascii="宋体"/>
          <w:sz w:val="24"/>
        </w:rPr>
        <w:t>13972103491</w:t>
      </w:r>
    </w:p>
    <w:p>
      <w:pPr>
        <w:spacing w:line="360" w:lineRule="auto"/>
        <w:rPr>
          <w:rFonts w:ascii="宋体"/>
          <w:sz w:val="24"/>
        </w:rPr>
      </w:pPr>
      <w:r>
        <w:rPr>
          <w:rFonts w:hint="eastAsia" w:ascii="宋体"/>
          <w:sz w:val="24"/>
        </w:rPr>
        <w:t>七、询价文件的递交：</w:t>
      </w:r>
    </w:p>
    <w:p>
      <w:pPr>
        <w:spacing w:line="360" w:lineRule="auto"/>
        <w:ind w:firstLine="480" w:firstLineChars="200"/>
        <w:rPr>
          <w:rFonts w:ascii="宋体"/>
          <w:sz w:val="24"/>
        </w:rPr>
      </w:pPr>
      <w:r>
        <w:rPr>
          <w:rFonts w:hint="eastAsia" w:ascii="宋体"/>
          <w:sz w:val="24"/>
        </w:rPr>
        <w:t>询价文件递交时间：</w:t>
      </w:r>
      <w:r>
        <w:rPr>
          <w:rFonts w:ascii="宋体"/>
          <w:sz w:val="24"/>
        </w:rPr>
        <w:t>2017</w:t>
      </w:r>
      <w:r>
        <w:rPr>
          <w:rFonts w:hint="eastAsia" w:ascii="宋体"/>
          <w:sz w:val="24"/>
        </w:rPr>
        <w:t>年10月25日上午9</w:t>
      </w:r>
      <w:r>
        <w:rPr>
          <w:rFonts w:ascii="宋体"/>
          <w:sz w:val="24"/>
        </w:rPr>
        <w:t>:</w:t>
      </w:r>
      <w:r>
        <w:rPr>
          <w:rFonts w:hint="eastAsia" w:ascii="宋体"/>
          <w:sz w:val="24"/>
        </w:rPr>
        <w:t>3</w:t>
      </w:r>
      <w:r>
        <w:rPr>
          <w:rFonts w:ascii="宋体"/>
          <w:sz w:val="24"/>
        </w:rPr>
        <w:t>0</w:t>
      </w:r>
      <w:r>
        <w:rPr>
          <w:rFonts w:hint="eastAsia" w:ascii="宋体"/>
          <w:sz w:val="24"/>
        </w:rPr>
        <w:t>至10</w:t>
      </w:r>
      <w:r>
        <w:rPr>
          <w:rFonts w:ascii="宋体"/>
          <w:sz w:val="24"/>
        </w:rPr>
        <w:t>:</w:t>
      </w:r>
      <w:r>
        <w:rPr>
          <w:rFonts w:hint="eastAsia" w:ascii="宋体"/>
          <w:sz w:val="24"/>
        </w:rPr>
        <w:t>0</w:t>
      </w:r>
      <w:r>
        <w:rPr>
          <w:rFonts w:ascii="宋体"/>
          <w:sz w:val="24"/>
        </w:rPr>
        <w:t>0</w:t>
      </w:r>
      <w:r>
        <w:rPr>
          <w:rFonts w:hint="eastAsia" w:ascii="宋体"/>
          <w:sz w:val="24"/>
        </w:rPr>
        <w:t>分，逾期不受理投标（询价文件必须胶装成册，不留活页，密封投递）。</w:t>
      </w:r>
    </w:p>
    <w:p>
      <w:pPr>
        <w:spacing w:line="360" w:lineRule="auto"/>
        <w:ind w:firstLine="480" w:firstLineChars="200"/>
        <w:rPr>
          <w:rFonts w:ascii="宋体"/>
          <w:sz w:val="24"/>
        </w:rPr>
      </w:pPr>
      <w:r>
        <w:rPr>
          <w:rFonts w:hint="eastAsia" w:ascii="宋体"/>
          <w:sz w:val="24"/>
        </w:rPr>
        <w:t>询价文件递交地点：长江大学东校区工字楼109室</w:t>
      </w:r>
    </w:p>
    <w:p>
      <w:pPr>
        <w:spacing w:line="360" w:lineRule="auto"/>
        <w:rPr>
          <w:rFonts w:ascii="宋体"/>
          <w:sz w:val="24"/>
        </w:rPr>
      </w:pPr>
      <w:r>
        <w:rPr>
          <w:rFonts w:hint="eastAsia" w:ascii="宋体"/>
          <w:sz w:val="24"/>
        </w:rPr>
        <w:t>八、本项目已进入招标程序，如对招标公告及文件有疑异，请向长江大学采购与招投标管理处质疑。如质疑答复不满意，在答复期满后3个工作日内向长江大学纪委办公室提起投诉。</w:t>
      </w:r>
    </w:p>
    <w:p>
      <w:pPr>
        <w:spacing w:line="360" w:lineRule="auto"/>
        <w:rPr>
          <w:rFonts w:ascii="宋体"/>
          <w:sz w:val="24"/>
        </w:rPr>
      </w:pPr>
      <w:r>
        <w:rPr>
          <w:rFonts w:hint="eastAsia" w:ascii="宋体"/>
          <w:sz w:val="24"/>
        </w:rPr>
        <w:t>九、联系方式</w:t>
      </w:r>
    </w:p>
    <w:p>
      <w:pPr>
        <w:spacing w:line="360" w:lineRule="auto"/>
        <w:ind w:firstLine="480" w:firstLineChars="200"/>
        <w:rPr>
          <w:rFonts w:ascii="宋体"/>
          <w:sz w:val="24"/>
        </w:rPr>
      </w:pPr>
      <w:r>
        <w:rPr>
          <w:rFonts w:hint="eastAsia" w:ascii="宋体"/>
          <w:sz w:val="24"/>
        </w:rPr>
        <w:t>长江大学东校区工字楼109室</w:t>
      </w:r>
    </w:p>
    <w:p>
      <w:pPr>
        <w:spacing w:line="360" w:lineRule="auto"/>
        <w:ind w:firstLine="480" w:firstLineChars="200"/>
        <w:rPr>
          <w:rFonts w:ascii="宋体"/>
          <w:sz w:val="24"/>
        </w:rPr>
      </w:pPr>
      <w:r>
        <w:rPr>
          <w:rFonts w:hint="eastAsia" w:ascii="宋体"/>
          <w:sz w:val="24"/>
        </w:rPr>
        <w:t>联系人：娄君庭</w:t>
      </w:r>
    </w:p>
    <w:p>
      <w:pPr>
        <w:spacing w:line="360" w:lineRule="auto"/>
        <w:ind w:firstLine="480" w:firstLineChars="200"/>
        <w:rPr>
          <w:rFonts w:ascii="宋体"/>
          <w:sz w:val="24"/>
        </w:rPr>
      </w:pPr>
      <w:r>
        <w:rPr>
          <w:rFonts w:hint="eastAsia" w:ascii="宋体"/>
          <w:sz w:val="24"/>
        </w:rPr>
        <w:t>联系电话：13972103491</w:t>
      </w:r>
    </w:p>
    <w:p>
      <w:pPr>
        <w:spacing w:line="360" w:lineRule="auto"/>
        <w:rPr>
          <w:rFonts w:ascii="宋体"/>
          <w:sz w:val="24"/>
        </w:rPr>
      </w:pPr>
    </w:p>
    <w:p>
      <w:pPr>
        <w:spacing w:line="360" w:lineRule="auto"/>
        <w:ind w:firstLine="4680" w:firstLineChars="1950"/>
        <w:rPr>
          <w:rFonts w:ascii="宋体"/>
          <w:sz w:val="24"/>
        </w:rPr>
      </w:pPr>
      <w:r>
        <w:rPr>
          <w:rFonts w:hint="eastAsia" w:ascii="宋体"/>
          <w:sz w:val="24"/>
        </w:rPr>
        <w:t>长江大学采购与招投标管理处</w:t>
      </w:r>
    </w:p>
    <w:p>
      <w:pPr>
        <w:spacing w:line="360" w:lineRule="auto"/>
        <w:ind w:firstLine="5280" w:firstLineChars="2200"/>
        <w:rPr>
          <w:rFonts w:ascii="宋体"/>
          <w:sz w:val="24"/>
        </w:rPr>
      </w:pPr>
      <w:r>
        <w:rPr>
          <w:rFonts w:ascii="宋体"/>
          <w:sz w:val="24"/>
        </w:rPr>
        <w:t>2017</w:t>
      </w:r>
      <w:r>
        <w:rPr>
          <w:rFonts w:hint="eastAsia" w:ascii="宋体"/>
          <w:sz w:val="24"/>
        </w:rPr>
        <w:t>年10月20日</w:t>
      </w:r>
    </w:p>
    <w:p>
      <w:pPr>
        <w:spacing w:line="360" w:lineRule="auto"/>
        <w:rPr>
          <w:rFonts w:ascii="宋体"/>
          <w:sz w:val="24"/>
        </w:rPr>
      </w:pPr>
      <w:r>
        <w:rPr>
          <w:rFonts w:ascii="宋体"/>
          <w:sz w:val="24"/>
        </w:rPr>
        <w:t>  </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
      <w:pPr>
        <w:pStyle w:val="2"/>
        <w:numPr>
          <w:ilvl w:val="0"/>
          <w:numId w:val="2"/>
        </w:numPr>
        <w:spacing w:before="0" w:after="0" w:line="240" w:lineRule="auto"/>
        <w:jc w:val="center"/>
        <w:rPr>
          <w:rFonts w:ascii="仿宋_GB2312" w:eastAsia="仿宋_GB2312" w:cs="仿宋_GB2312"/>
        </w:rPr>
      </w:pPr>
      <w:bookmarkStart w:id="0" w:name="_Toc229456846"/>
      <w:r>
        <w:rPr>
          <w:rFonts w:ascii="仿宋_GB2312" w:eastAsia="仿宋_GB2312" w:cs="仿宋_GB2312"/>
        </w:rPr>
        <w:t xml:space="preserve"> </w:t>
      </w:r>
      <w:r>
        <w:rPr>
          <w:rFonts w:hint="eastAsia" w:ascii="仿宋_GB2312" w:eastAsia="仿宋_GB2312" w:cs="仿宋_GB2312"/>
        </w:rPr>
        <w:t>货物技术、商务要求</w:t>
      </w:r>
    </w:p>
    <w:p/>
    <w:p>
      <w:pPr>
        <w:pStyle w:val="48"/>
        <w:numPr>
          <w:ilvl w:val="0"/>
          <w:numId w:val="3"/>
        </w:numPr>
        <w:spacing w:line="360" w:lineRule="auto"/>
        <w:ind w:firstLineChars="0"/>
        <w:jc w:val="left"/>
        <w:rPr>
          <w:rFonts w:ascii="宋体"/>
          <w:sz w:val="24"/>
        </w:rPr>
      </w:pPr>
      <w:r>
        <w:rPr>
          <w:rFonts w:hint="eastAsia" w:ascii="宋体" w:hAnsi="宋体"/>
          <w:sz w:val="24"/>
        </w:rPr>
        <w:t>货物要求：</w:t>
      </w:r>
      <w:bookmarkEnd w:id="0"/>
      <w:bookmarkStart w:id="1" w:name="_Toc175733110"/>
      <w:r>
        <w:rPr>
          <w:rFonts w:ascii="宋体"/>
          <w:sz w:val="24"/>
        </w:rPr>
        <w:t xml:space="preserve"> </w:t>
      </w:r>
    </w:p>
    <w:p>
      <w:pPr>
        <w:spacing w:line="360" w:lineRule="auto"/>
        <w:jc w:val="left"/>
        <w:rPr>
          <w:rFonts w:ascii="宋体"/>
          <w:sz w:val="24"/>
        </w:rPr>
      </w:pPr>
    </w:p>
    <w:tbl>
      <w:tblPr>
        <w:tblStyle w:val="23"/>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3827"/>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3" w:type="dxa"/>
          </w:tcPr>
          <w:p>
            <w:pPr>
              <w:pStyle w:val="48"/>
              <w:spacing w:line="360" w:lineRule="auto"/>
              <w:ind w:firstLine="0" w:firstLineChars="0"/>
              <w:jc w:val="center"/>
              <w:rPr>
                <w:rFonts w:ascii="宋体"/>
                <w:b/>
                <w:sz w:val="24"/>
                <w:szCs w:val="24"/>
              </w:rPr>
            </w:pPr>
            <w:r>
              <w:rPr>
                <w:rFonts w:hint="eastAsia" w:ascii="宋体"/>
                <w:b/>
                <w:sz w:val="24"/>
                <w:szCs w:val="24"/>
              </w:rPr>
              <w:t>序号</w:t>
            </w:r>
          </w:p>
        </w:tc>
        <w:tc>
          <w:tcPr>
            <w:tcW w:w="1843" w:type="dxa"/>
          </w:tcPr>
          <w:p>
            <w:pPr>
              <w:pStyle w:val="48"/>
              <w:spacing w:line="360" w:lineRule="auto"/>
              <w:ind w:firstLine="0" w:firstLineChars="0"/>
              <w:jc w:val="center"/>
              <w:rPr>
                <w:rFonts w:ascii="宋体"/>
                <w:b/>
                <w:sz w:val="24"/>
                <w:szCs w:val="24"/>
              </w:rPr>
            </w:pPr>
            <w:r>
              <w:rPr>
                <w:rFonts w:hint="eastAsia" w:ascii="宋体"/>
                <w:b/>
                <w:sz w:val="24"/>
                <w:szCs w:val="24"/>
              </w:rPr>
              <w:t>名称</w:t>
            </w:r>
          </w:p>
        </w:tc>
        <w:tc>
          <w:tcPr>
            <w:tcW w:w="3827" w:type="dxa"/>
          </w:tcPr>
          <w:p>
            <w:pPr>
              <w:pStyle w:val="48"/>
              <w:spacing w:line="360" w:lineRule="auto"/>
              <w:ind w:firstLine="0" w:firstLineChars="0"/>
              <w:jc w:val="center"/>
              <w:rPr>
                <w:rFonts w:ascii="宋体"/>
                <w:b/>
                <w:sz w:val="24"/>
                <w:szCs w:val="24"/>
              </w:rPr>
            </w:pPr>
            <w:r>
              <w:rPr>
                <w:rFonts w:hint="eastAsia" w:ascii="宋体"/>
                <w:b/>
                <w:sz w:val="24"/>
                <w:szCs w:val="24"/>
              </w:rPr>
              <w:t>技术参数</w:t>
            </w:r>
          </w:p>
        </w:tc>
        <w:tc>
          <w:tcPr>
            <w:tcW w:w="992" w:type="dxa"/>
          </w:tcPr>
          <w:p>
            <w:pPr>
              <w:pStyle w:val="48"/>
              <w:spacing w:line="360" w:lineRule="auto"/>
              <w:ind w:firstLine="0" w:firstLineChars="0"/>
              <w:jc w:val="center"/>
              <w:rPr>
                <w:rFonts w:ascii="宋体"/>
                <w:b/>
                <w:sz w:val="24"/>
                <w:szCs w:val="24"/>
              </w:rPr>
            </w:pPr>
            <w:r>
              <w:rPr>
                <w:rFonts w:hint="eastAsia" w:ascii="宋体"/>
                <w:b/>
                <w:sz w:val="24"/>
                <w:szCs w:val="24"/>
              </w:rPr>
              <w:t>数量</w:t>
            </w:r>
          </w:p>
        </w:tc>
        <w:tc>
          <w:tcPr>
            <w:tcW w:w="1134" w:type="dxa"/>
          </w:tcPr>
          <w:p>
            <w:pPr>
              <w:pStyle w:val="48"/>
              <w:spacing w:line="360" w:lineRule="auto"/>
              <w:ind w:firstLine="0" w:firstLineChars="0"/>
              <w:jc w:val="center"/>
              <w:rPr>
                <w:rFonts w:ascii="宋体"/>
                <w:b/>
                <w:sz w:val="24"/>
                <w:szCs w:val="24"/>
              </w:rPr>
            </w:pPr>
            <w:r>
              <w:rPr>
                <w:rFonts w:hint="eastAsia" w:asci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43" w:hRule="atLeast"/>
        </w:trPr>
        <w:tc>
          <w:tcPr>
            <w:tcW w:w="993" w:type="dxa"/>
            <w:vAlign w:val="center"/>
          </w:tcPr>
          <w:p>
            <w:pPr>
              <w:pStyle w:val="48"/>
              <w:spacing w:line="360" w:lineRule="auto"/>
              <w:ind w:firstLine="0" w:firstLineChars="0"/>
              <w:jc w:val="center"/>
              <w:rPr>
                <w:rFonts w:ascii="宋体"/>
                <w:sz w:val="24"/>
                <w:szCs w:val="24"/>
              </w:rPr>
            </w:pPr>
            <w:r>
              <w:rPr>
                <w:rFonts w:hint="eastAsia" w:ascii="宋体"/>
                <w:sz w:val="24"/>
                <w:szCs w:val="24"/>
              </w:rPr>
              <w:t>1</w:t>
            </w:r>
          </w:p>
        </w:tc>
        <w:tc>
          <w:tcPr>
            <w:tcW w:w="1843" w:type="dxa"/>
            <w:vAlign w:val="center"/>
          </w:tcPr>
          <w:p>
            <w:pPr>
              <w:jc w:val="center"/>
              <w:rPr>
                <w:rFonts w:ascii="宋体" w:hAnsi="宋体" w:cs="宋体"/>
                <w:sz w:val="24"/>
                <w:szCs w:val="24"/>
              </w:rPr>
            </w:pPr>
            <w:r>
              <w:rPr>
                <w:rFonts w:hint="eastAsia"/>
                <w:sz w:val="24"/>
                <w:szCs w:val="24"/>
                <w:lang w:eastAsia="zh-CN"/>
              </w:rPr>
              <w:t>商用</w:t>
            </w:r>
            <w:bookmarkStart w:id="7" w:name="_GoBack"/>
            <w:bookmarkEnd w:id="7"/>
            <w:r>
              <w:rPr>
                <w:rFonts w:hint="eastAsia"/>
                <w:sz w:val="24"/>
                <w:szCs w:val="24"/>
              </w:rPr>
              <w:t>台式计算机</w:t>
            </w:r>
          </w:p>
        </w:tc>
        <w:tc>
          <w:tcPr>
            <w:tcW w:w="3827" w:type="dxa"/>
            <w:vAlign w:val="center"/>
          </w:tcPr>
          <w:p>
            <w:pPr>
              <w:rPr>
                <w:rFonts w:ascii="宋体" w:hAnsi="宋体" w:cs="宋体"/>
                <w:sz w:val="24"/>
                <w:szCs w:val="24"/>
              </w:rPr>
            </w:pPr>
            <w:r>
              <w:rPr>
                <w:rFonts w:hint="eastAsia"/>
                <w:sz w:val="24"/>
                <w:szCs w:val="24"/>
              </w:rPr>
              <w:t>处理器I3，集成显卡，内存不小于4G，256G固态硬盘， 显示屏不小于19.5寸，原装鼠标键盘。</w:t>
            </w:r>
          </w:p>
        </w:tc>
        <w:tc>
          <w:tcPr>
            <w:tcW w:w="992" w:type="dxa"/>
            <w:vAlign w:val="center"/>
          </w:tcPr>
          <w:p>
            <w:pPr>
              <w:pStyle w:val="48"/>
              <w:spacing w:line="360" w:lineRule="auto"/>
              <w:ind w:firstLine="0" w:firstLineChars="0"/>
              <w:jc w:val="center"/>
              <w:rPr>
                <w:rFonts w:ascii="宋体"/>
                <w:sz w:val="24"/>
                <w:szCs w:val="24"/>
              </w:rPr>
            </w:pPr>
            <w:r>
              <w:rPr>
                <w:rFonts w:hint="eastAsia" w:ascii="宋体"/>
                <w:sz w:val="24"/>
                <w:szCs w:val="24"/>
              </w:rPr>
              <w:t>10台</w:t>
            </w:r>
          </w:p>
        </w:tc>
        <w:tc>
          <w:tcPr>
            <w:tcW w:w="1134" w:type="dxa"/>
            <w:vAlign w:val="center"/>
          </w:tcPr>
          <w:p>
            <w:pPr>
              <w:pStyle w:val="48"/>
              <w:spacing w:line="360" w:lineRule="auto"/>
              <w:ind w:firstLine="0" w:firstLineChars="0"/>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4" w:hRule="atLeast"/>
        </w:trPr>
        <w:tc>
          <w:tcPr>
            <w:tcW w:w="993" w:type="dxa"/>
            <w:vAlign w:val="center"/>
          </w:tcPr>
          <w:p>
            <w:pPr>
              <w:pStyle w:val="48"/>
              <w:spacing w:line="360" w:lineRule="auto"/>
              <w:ind w:firstLine="0" w:firstLineChars="0"/>
              <w:jc w:val="center"/>
              <w:rPr>
                <w:rFonts w:ascii="宋体"/>
                <w:sz w:val="24"/>
                <w:szCs w:val="24"/>
              </w:rPr>
            </w:pPr>
            <w:r>
              <w:rPr>
                <w:rFonts w:hint="eastAsia" w:ascii="宋体"/>
                <w:sz w:val="24"/>
                <w:szCs w:val="24"/>
              </w:rPr>
              <w:t>2</w:t>
            </w:r>
          </w:p>
        </w:tc>
        <w:tc>
          <w:tcPr>
            <w:tcW w:w="1843" w:type="dxa"/>
            <w:vAlign w:val="center"/>
          </w:tcPr>
          <w:p>
            <w:pPr>
              <w:pStyle w:val="48"/>
              <w:spacing w:line="360" w:lineRule="auto"/>
              <w:ind w:firstLine="0" w:firstLineChars="0"/>
              <w:jc w:val="center"/>
              <w:rPr>
                <w:rFonts w:ascii="宋体"/>
                <w:sz w:val="24"/>
                <w:szCs w:val="24"/>
              </w:rPr>
            </w:pPr>
            <w:r>
              <w:rPr>
                <w:rFonts w:hint="eastAsia" w:ascii="宋体"/>
                <w:sz w:val="24"/>
                <w:szCs w:val="24"/>
              </w:rPr>
              <w:t>多功能打印机</w:t>
            </w:r>
          </w:p>
        </w:tc>
        <w:tc>
          <w:tcPr>
            <w:tcW w:w="3827" w:type="dxa"/>
            <w:vAlign w:val="center"/>
          </w:tcPr>
          <w:p>
            <w:pPr>
              <w:rPr>
                <w:rFonts w:ascii="宋体" w:hAnsi="宋体" w:cs="宋体"/>
                <w:sz w:val="24"/>
                <w:szCs w:val="24"/>
              </w:rPr>
            </w:pPr>
            <w:r>
              <w:rPr>
                <w:rFonts w:hint="eastAsia"/>
                <w:sz w:val="24"/>
                <w:szCs w:val="24"/>
              </w:rPr>
              <w:t>A4幅面，4合1激光一体打印机，速度不小于20张/分钟</w:t>
            </w:r>
          </w:p>
        </w:tc>
        <w:tc>
          <w:tcPr>
            <w:tcW w:w="992" w:type="dxa"/>
            <w:vAlign w:val="center"/>
          </w:tcPr>
          <w:p>
            <w:pPr>
              <w:pStyle w:val="48"/>
              <w:spacing w:line="360" w:lineRule="auto"/>
              <w:ind w:firstLine="0" w:firstLineChars="0"/>
              <w:jc w:val="center"/>
              <w:rPr>
                <w:rFonts w:ascii="宋体"/>
                <w:sz w:val="24"/>
                <w:szCs w:val="24"/>
              </w:rPr>
            </w:pPr>
            <w:r>
              <w:rPr>
                <w:rFonts w:hint="eastAsia" w:ascii="宋体"/>
                <w:sz w:val="24"/>
                <w:szCs w:val="24"/>
              </w:rPr>
              <w:t>5个</w:t>
            </w:r>
          </w:p>
        </w:tc>
        <w:tc>
          <w:tcPr>
            <w:tcW w:w="1134" w:type="dxa"/>
            <w:vAlign w:val="center"/>
          </w:tcPr>
          <w:p>
            <w:pPr>
              <w:pStyle w:val="48"/>
              <w:spacing w:line="360" w:lineRule="auto"/>
              <w:ind w:firstLine="0" w:firstLineChars="0"/>
              <w:rPr>
                <w:rFonts w:ascii="宋体"/>
                <w:sz w:val="24"/>
                <w:szCs w:val="24"/>
              </w:rPr>
            </w:pPr>
          </w:p>
        </w:tc>
      </w:tr>
    </w:tbl>
    <w:p>
      <w:pPr>
        <w:spacing w:line="360" w:lineRule="auto"/>
        <w:jc w:val="left"/>
        <w:rPr>
          <w:rFonts w:ascii="宋体"/>
          <w:sz w:val="24"/>
        </w:rPr>
      </w:pPr>
    </w:p>
    <w:p>
      <w:pPr>
        <w:spacing w:line="360" w:lineRule="auto"/>
        <w:rPr>
          <w:rFonts w:ascii="宋体"/>
          <w:sz w:val="24"/>
        </w:rPr>
      </w:pPr>
      <w:r>
        <w:rPr>
          <w:rFonts w:hint="eastAsia" w:ascii="宋体" w:hAnsi="宋体"/>
          <w:sz w:val="24"/>
        </w:rPr>
        <w:t>二、产品质量要求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、所有货物必须为全新产品，同时须有产品合格证和国家质检标志，</w:t>
      </w:r>
    </w:p>
    <w:p>
      <w:pPr>
        <w:spacing w:line="360" w:lineRule="auto"/>
        <w:ind w:firstLine="480" w:firstLineChars="200"/>
        <w:rPr>
          <w:rFonts w:ascii="仿宋_GB2312" w:eastAsia="仿宋_GB2312"/>
          <w:sz w:val="24"/>
          <w:szCs w:val="24"/>
        </w:rPr>
      </w:pPr>
      <w:r>
        <w:rPr>
          <w:rFonts w:ascii="宋体" w:hAnsi="宋体"/>
          <w:sz w:val="24"/>
        </w:rPr>
        <w:t>3</w:t>
      </w:r>
      <w:r>
        <w:rPr>
          <w:rFonts w:hint="eastAsia" w:ascii="宋体" w:hAnsi="宋体"/>
          <w:sz w:val="24"/>
        </w:rPr>
        <w:t>、质保要求：质保期五年。质保期时间自产品最终验收合格双方签字并交付使用之日起算，质保期内提供免费上门服务。</w:t>
      </w:r>
    </w:p>
    <w:bookmarkEnd w:id="1"/>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、合同签定后接采购人应在2017年10月29日之前完成项目所需货物的运输、安装、验收，直至交付采购人可以正常使用。</w:t>
      </w:r>
    </w:p>
    <w:p>
      <w:pPr>
        <w:spacing w:line="500" w:lineRule="exact"/>
        <w:ind w:firstLine="480" w:firstLineChars="200"/>
        <w:rPr>
          <w:rFonts w:ascii="宋体"/>
          <w:sz w:val="24"/>
        </w:rPr>
      </w:pPr>
      <w:r>
        <w:rPr>
          <w:rFonts w:ascii="宋体" w:hAnsi="宋体"/>
          <w:sz w:val="24"/>
        </w:rPr>
        <w:t>2</w:t>
      </w:r>
      <w:r>
        <w:rPr>
          <w:rFonts w:hint="eastAsia" w:ascii="宋体" w:hAnsi="宋体"/>
          <w:sz w:val="24"/>
        </w:rPr>
        <w:t>、交付地点：长江大学荆州校区</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ascii="宋体"/>
          <w:sz w:val="24"/>
        </w:rPr>
      </w:pPr>
      <w:r>
        <w:rPr>
          <w:rFonts w:hint="eastAsia" w:ascii="宋体" w:hAnsi="宋体"/>
          <w:sz w:val="24"/>
        </w:rPr>
        <w:t>设备到甲方指定交货地点，待乙方把各设备安装调试运行正常并经甲方验收合格后按合同金额付清款项。</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、投标人所投产品的技术要求必须完全满足或优于询价文件的要求，且实质性满足询价文件的商务条款及质保要求，否则视为无效投标。</w:t>
      </w:r>
    </w:p>
    <w:p>
      <w:pPr>
        <w:spacing w:line="500" w:lineRule="exact"/>
        <w:ind w:firstLine="480"/>
        <w:rPr>
          <w:rFonts w:ascii="宋体" w:hAnsi="宋体"/>
          <w:sz w:val="24"/>
        </w:rPr>
      </w:pPr>
      <w:r>
        <w:rPr>
          <w:rFonts w:ascii="宋体" w:hAnsi="宋体"/>
          <w:sz w:val="24"/>
        </w:rPr>
        <w:t>2</w:t>
      </w:r>
      <w:r>
        <w:rPr>
          <w:rFonts w:hint="eastAsia" w:ascii="宋体" w:hAnsi="宋体"/>
          <w:sz w:val="24"/>
        </w:rPr>
        <w:t>、询价小组根据符合采购项目需求、质量、服务均满足询价文件要求且报价适合最低（优）价的原则确定中标人。</w:t>
      </w:r>
    </w:p>
    <w:p>
      <w:pPr>
        <w:spacing w:line="500" w:lineRule="exact"/>
        <w:ind w:firstLine="480"/>
        <w:rPr>
          <w:rFonts w:ascii="宋体" w:hAnsi="宋体"/>
          <w:sz w:val="2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 月 日</w:t>
      </w:r>
    </w:p>
    <w:p>
      <w:pPr>
        <w:pStyle w:val="3"/>
        <w:rPr>
          <w:rFonts w:ascii="仿宋_GB2312"/>
        </w:rPr>
      </w:pPr>
      <w:r>
        <w:br w:type="page"/>
      </w:r>
      <w:bookmarkStart w:id="2" w:name="_Toc265109445"/>
      <w:bookmarkStart w:id="3" w:name="_Toc236473298"/>
      <w:bookmarkStart w:id="4" w:name="_Toc327371177"/>
      <w:bookmarkStart w:id="5" w:name="_Toc238276242"/>
      <w:bookmarkStart w:id="6" w:name="_Toc294609003"/>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9720"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33"/>
        <w:gridCol w:w="1553"/>
        <w:gridCol w:w="1842"/>
        <w:gridCol w:w="993"/>
        <w:gridCol w:w="117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09"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233"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171"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19"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09" w:type="dxa"/>
            <w:vAlign w:val="center"/>
          </w:tcPr>
          <w:p>
            <w:pPr>
              <w:rPr>
                <w:rFonts w:ascii="仿宋_GB2312" w:eastAsia="仿宋_GB2312"/>
              </w:rPr>
            </w:pPr>
          </w:p>
        </w:tc>
        <w:tc>
          <w:tcPr>
            <w:tcW w:w="2233"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171" w:type="dxa"/>
          </w:tcPr>
          <w:p>
            <w:pPr>
              <w:jc w:val="center"/>
              <w:rPr>
                <w:rFonts w:ascii="仿宋_GB2312" w:eastAsia="仿宋_GB2312"/>
              </w:rPr>
            </w:pPr>
          </w:p>
        </w:tc>
        <w:tc>
          <w:tcPr>
            <w:tcW w:w="1219"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09" w:type="dxa"/>
            <w:vAlign w:val="center"/>
          </w:tcPr>
          <w:p>
            <w:pPr>
              <w:rPr>
                <w:rFonts w:ascii="仿宋_GB2312" w:eastAsia="仿宋_GB2312"/>
              </w:rPr>
            </w:pPr>
          </w:p>
        </w:tc>
        <w:tc>
          <w:tcPr>
            <w:tcW w:w="2233"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171" w:type="dxa"/>
          </w:tcPr>
          <w:p>
            <w:pPr>
              <w:jc w:val="center"/>
              <w:rPr>
                <w:rFonts w:ascii="仿宋_GB2312" w:eastAsia="仿宋_GB2312"/>
              </w:rPr>
            </w:pPr>
          </w:p>
        </w:tc>
        <w:tc>
          <w:tcPr>
            <w:tcW w:w="1219"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09" w:type="dxa"/>
            <w:vAlign w:val="center"/>
          </w:tcPr>
          <w:p>
            <w:pPr>
              <w:rPr>
                <w:rFonts w:ascii="仿宋_GB2312" w:eastAsia="仿宋_GB2312"/>
              </w:rPr>
            </w:pPr>
          </w:p>
        </w:tc>
        <w:tc>
          <w:tcPr>
            <w:tcW w:w="2233"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171" w:type="dxa"/>
          </w:tcPr>
          <w:p>
            <w:pPr>
              <w:jc w:val="center"/>
              <w:rPr>
                <w:rFonts w:ascii="仿宋_GB2312" w:eastAsia="仿宋_GB2312"/>
              </w:rPr>
            </w:pPr>
          </w:p>
        </w:tc>
        <w:tc>
          <w:tcPr>
            <w:tcW w:w="1219"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09" w:type="dxa"/>
            <w:vAlign w:val="center"/>
          </w:tcPr>
          <w:p>
            <w:pPr>
              <w:rPr>
                <w:rFonts w:ascii="仿宋_GB2312" w:eastAsia="仿宋_GB2312"/>
              </w:rPr>
            </w:pPr>
          </w:p>
        </w:tc>
        <w:tc>
          <w:tcPr>
            <w:tcW w:w="2233"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171" w:type="dxa"/>
          </w:tcPr>
          <w:p>
            <w:pPr>
              <w:jc w:val="center"/>
              <w:rPr>
                <w:rFonts w:ascii="仿宋_GB2312" w:eastAsia="仿宋_GB2312"/>
              </w:rPr>
            </w:pPr>
          </w:p>
        </w:tc>
        <w:tc>
          <w:tcPr>
            <w:tcW w:w="1219"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709" w:type="dxa"/>
            <w:vAlign w:val="center"/>
          </w:tcPr>
          <w:p>
            <w:pPr>
              <w:rPr>
                <w:rFonts w:ascii="仿宋_GB2312" w:eastAsia="仿宋_GB2312"/>
              </w:rPr>
            </w:pPr>
          </w:p>
        </w:tc>
        <w:tc>
          <w:tcPr>
            <w:tcW w:w="2233"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171" w:type="dxa"/>
          </w:tcPr>
          <w:p>
            <w:pPr>
              <w:jc w:val="center"/>
              <w:rPr>
                <w:rFonts w:ascii="仿宋_GB2312" w:eastAsia="仿宋_GB2312"/>
              </w:rPr>
            </w:pPr>
          </w:p>
        </w:tc>
        <w:tc>
          <w:tcPr>
            <w:tcW w:w="1219"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709" w:type="dxa"/>
            <w:vAlign w:val="center"/>
          </w:tcPr>
          <w:p>
            <w:pPr>
              <w:rPr>
                <w:rFonts w:ascii="仿宋_GB2312" w:eastAsia="仿宋_GB2312"/>
              </w:rPr>
            </w:pPr>
          </w:p>
        </w:tc>
        <w:tc>
          <w:tcPr>
            <w:tcW w:w="2233"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171" w:type="dxa"/>
          </w:tcPr>
          <w:p>
            <w:pPr>
              <w:jc w:val="center"/>
              <w:rPr>
                <w:rFonts w:ascii="仿宋_GB2312" w:eastAsia="仿宋_GB2312"/>
              </w:rPr>
            </w:pPr>
          </w:p>
        </w:tc>
        <w:tc>
          <w:tcPr>
            <w:tcW w:w="1219"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2942"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77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2942"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77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2942"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77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　　　　　　　　　　　　 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000" w:firstLineChars="125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w:t>
      </w:r>
      <w:r>
        <w:rPr>
          <w:rFonts w:hint="eastAsia" w:ascii="仿宋_GB2312" w:eastAsia="仿宋_GB2312" w:cs="仿宋_GB2312"/>
          <w:sz w:val="24"/>
          <w:szCs w:val="24"/>
          <w:u w:val="single"/>
        </w:rPr>
        <w:t>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  月  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326"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70" w:type="dxa"/>
            <w:vAlign w:val="center"/>
          </w:tcPr>
          <w:p>
            <w:pPr>
              <w:spacing w:line="400" w:lineRule="exact"/>
              <w:jc w:val="center"/>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8"/>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410" w:type="dxa"/>
        <w:jc w:val="center"/>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197"/>
        <w:gridCol w:w="1090"/>
        <w:gridCol w:w="915"/>
        <w:gridCol w:w="1708"/>
        <w:gridCol w:w="1430"/>
        <w:gridCol w:w="1430"/>
        <w:gridCol w:w="9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197"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949"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197"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197"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197"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197"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197"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197"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691"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197"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949"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03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379"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line="540" w:lineRule="exact"/>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10</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F82AB"/>
    <w:multiLevelType w:val="singleLevel"/>
    <w:tmpl w:val="59DF82AB"/>
    <w:lvl w:ilvl="0" w:tentative="0">
      <w:start w:val="2"/>
      <w:numFmt w:val="chineseCounting"/>
      <w:suff w:val="space"/>
      <w:lvlText w:val="第%1章"/>
      <w:lvlJc w:val="left"/>
    </w:lvl>
  </w:abstractNum>
  <w:abstractNum w:abstractNumId="1">
    <w:nsid w:val="59E01708"/>
    <w:multiLevelType w:val="singleLevel"/>
    <w:tmpl w:val="59E01708"/>
    <w:lvl w:ilvl="0" w:tentative="0">
      <w:start w:val="1"/>
      <w:numFmt w:val="chineseCounting"/>
      <w:suff w:val="nothing"/>
      <w:lvlText w:val="%1、"/>
      <w:lvlJc w:val="left"/>
    </w:lvl>
  </w:abstractNum>
  <w:abstractNum w:abstractNumId="2">
    <w:nsid w:val="693A2561"/>
    <w:multiLevelType w:val="multilevel"/>
    <w:tmpl w:val="693A2561"/>
    <w:lvl w:ilvl="0" w:tentative="0">
      <w:start w:val="1"/>
      <w:numFmt w:val="japaneseCounting"/>
      <w:lvlText w:val="%1、"/>
      <w:lvlJc w:val="left"/>
      <w:pPr>
        <w:ind w:left="480" w:hanging="48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172A27"/>
    <w:rsid w:val="0001594F"/>
    <w:rsid w:val="000228CA"/>
    <w:rsid w:val="00023603"/>
    <w:rsid w:val="000304BB"/>
    <w:rsid w:val="00035E99"/>
    <w:rsid w:val="0004246D"/>
    <w:rsid w:val="0004286C"/>
    <w:rsid w:val="0004356E"/>
    <w:rsid w:val="00047B85"/>
    <w:rsid w:val="00061FDC"/>
    <w:rsid w:val="0006349E"/>
    <w:rsid w:val="00070865"/>
    <w:rsid w:val="0007216D"/>
    <w:rsid w:val="000936B8"/>
    <w:rsid w:val="000A2E4D"/>
    <w:rsid w:val="000A41C3"/>
    <w:rsid w:val="000A78B3"/>
    <w:rsid w:val="000B185C"/>
    <w:rsid w:val="000B74AD"/>
    <w:rsid w:val="000B779A"/>
    <w:rsid w:val="000F33BE"/>
    <w:rsid w:val="000F6476"/>
    <w:rsid w:val="0010168D"/>
    <w:rsid w:val="001057BB"/>
    <w:rsid w:val="001219A6"/>
    <w:rsid w:val="0014386E"/>
    <w:rsid w:val="00162E4A"/>
    <w:rsid w:val="00162F9F"/>
    <w:rsid w:val="00172A27"/>
    <w:rsid w:val="00183C4E"/>
    <w:rsid w:val="00186EFA"/>
    <w:rsid w:val="001A0DBB"/>
    <w:rsid w:val="001C2BB7"/>
    <w:rsid w:val="001D08E9"/>
    <w:rsid w:val="001D251B"/>
    <w:rsid w:val="001E44C9"/>
    <w:rsid w:val="001E6B8C"/>
    <w:rsid w:val="001E7911"/>
    <w:rsid w:val="00223063"/>
    <w:rsid w:val="00227F12"/>
    <w:rsid w:val="002315A1"/>
    <w:rsid w:val="00244808"/>
    <w:rsid w:val="0026463D"/>
    <w:rsid w:val="00264A8F"/>
    <w:rsid w:val="00276502"/>
    <w:rsid w:val="002823D9"/>
    <w:rsid w:val="002A5A6B"/>
    <w:rsid w:val="002B5DEE"/>
    <w:rsid w:val="002D4E75"/>
    <w:rsid w:val="002F0540"/>
    <w:rsid w:val="002F07FE"/>
    <w:rsid w:val="002F26CD"/>
    <w:rsid w:val="003131D2"/>
    <w:rsid w:val="003142A7"/>
    <w:rsid w:val="00314B4D"/>
    <w:rsid w:val="00330B15"/>
    <w:rsid w:val="00335DD4"/>
    <w:rsid w:val="003376B4"/>
    <w:rsid w:val="0035009A"/>
    <w:rsid w:val="00360E69"/>
    <w:rsid w:val="00365498"/>
    <w:rsid w:val="0037726B"/>
    <w:rsid w:val="00377C97"/>
    <w:rsid w:val="003823D2"/>
    <w:rsid w:val="00394673"/>
    <w:rsid w:val="003A00AE"/>
    <w:rsid w:val="003A09B3"/>
    <w:rsid w:val="003D6649"/>
    <w:rsid w:val="003D70B3"/>
    <w:rsid w:val="003E5C49"/>
    <w:rsid w:val="003F634B"/>
    <w:rsid w:val="00414307"/>
    <w:rsid w:val="004161B4"/>
    <w:rsid w:val="004347CF"/>
    <w:rsid w:val="00470D33"/>
    <w:rsid w:val="00476CBD"/>
    <w:rsid w:val="00494E38"/>
    <w:rsid w:val="004953C5"/>
    <w:rsid w:val="004B149D"/>
    <w:rsid w:val="004B5D9D"/>
    <w:rsid w:val="004B5DDC"/>
    <w:rsid w:val="004C7EA5"/>
    <w:rsid w:val="004D478F"/>
    <w:rsid w:val="004D5850"/>
    <w:rsid w:val="004E0951"/>
    <w:rsid w:val="004E0DED"/>
    <w:rsid w:val="00517F41"/>
    <w:rsid w:val="00530BB5"/>
    <w:rsid w:val="005846D1"/>
    <w:rsid w:val="005900E2"/>
    <w:rsid w:val="00596754"/>
    <w:rsid w:val="005A2E2B"/>
    <w:rsid w:val="005D7D16"/>
    <w:rsid w:val="005E6C58"/>
    <w:rsid w:val="00601217"/>
    <w:rsid w:val="00612BF4"/>
    <w:rsid w:val="00612D03"/>
    <w:rsid w:val="00623573"/>
    <w:rsid w:val="00631F89"/>
    <w:rsid w:val="00661A62"/>
    <w:rsid w:val="00675B02"/>
    <w:rsid w:val="006D6380"/>
    <w:rsid w:val="006E5801"/>
    <w:rsid w:val="006F2AA5"/>
    <w:rsid w:val="007003A5"/>
    <w:rsid w:val="00704B57"/>
    <w:rsid w:val="00744EBD"/>
    <w:rsid w:val="00746BCF"/>
    <w:rsid w:val="00773469"/>
    <w:rsid w:val="0077352D"/>
    <w:rsid w:val="00773FFE"/>
    <w:rsid w:val="00783B06"/>
    <w:rsid w:val="00791967"/>
    <w:rsid w:val="007B2438"/>
    <w:rsid w:val="007B2F37"/>
    <w:rsid w:val="007B4849"/>
    <w:rsid w:val="007C305A"/>
    <w:rsid w:val="007C45FD"/>
    <w:rsid w:val="007E7BEF"/>
    <w:rsid w:val="00810BB2"/>
    <w:rsid w:val="00811FFE"/>
    <w:rsid w:val="008133A0"/>
    <w:rsid w:val="00813686"/>
    <w:rsid w:val="008147DA"/>
    <w:rsid w:val="00816E5E"/>
    <w:rsid w:val="008351A1"/>
    <w:rsid w:val="0085406A"/>
    <w:rsid w:val="00860C13"/>
    <w:rsid w:val="00865CFF"/>
    <w:rsid w:val="008B121B"/>
    <w:rsid w:val="008C2A5F"/>
    <w:rsid w:val="008C32D7"/>
    <w:rsid w:val="008C5B73"/>
    <w:rsid w:val="008C6718"/>
    <w:rsid w:val="008C70EE"/>
    <w:rsid w:val="008D2098"/>
    <w:rsid w:val="008D3746"/>
    <w:rsid w:val="008D551E"/>
    <w:rsid w:val="00914B83"/>
    <w:rsid w:val="009460DF"/>
    <w:rsid w:val="009551F7"/>
    <w:rsid w:val="00971CE6"/>
    <w:rsid w:val="0097505D"/>
    <w:rsid w:val="00987342"/>
    <w:rsid w:val="009B107A"/>
    <w:rsid w:val="00A21BD5"/>
    <w:rsid w:val="00A2478D"/>
    <w:rsid w:val="00A305C8"/>
    <w:rsid w:val="00A3268C"/>
    <w:rsid w:val="00A3463D"/>
    <w:rsid w:val="00A45681"/>
    <w:rsid w:val="00A55E62"/>
    <w:rsid w:val="00A60C55"/>
    <w:rsid w:val="00A67B5B"/>
    <w:rsid w:val="00A807D8"/>
    <w:rsid w:val="00A90027"/>
    <w:rsid w:val="00AB47B3"/>
    <w:rsid w:val="00AC4D6C"/>
    <w:rsid w:val="00AD4B3B"/>
    <w:rsid w:val="00AE161E"/>
    <w:rsid w:val="00AF6BDC"/>
    <w:rsid w:val="00B1194B"/>
    <w:rsid w:val="00B21794"/>
    <w:rsid w:val="00B22555"/>
    <w:rsid w:val="00B30F4F"/>
    <w:rsid w:val="00B325DF"/>
    <w:rsid w:val="00B32FB9"/>
    <w:rsid w:val="00B51372"/>
    <w:rsid w:val="00B6176A"/>
    <w:rsid w:val="00B62E25"/>
    <w:rsid w:val="00B91424"/>
    <w:rsid w:val="00B92226"/>
    <w:rsid w:val="00B9597A"/>
    <w:rsid w:val="00BA764D"/>
    <w:rsid w:val="00BB24DF"/>
    <w:rsid w:val="00BC3267"/>
    <w:rsid w:val="00BC5FB0"/>
    <w:rsid w:val="00BC7408"/>
    <w:rsid w:val="00BD0E7F"/>
    <w:rsid w:val="00BE063F"/>
    <w:rsid w:val="00BE769C"/>
    <w:rsid w:val="00BF3B0A"/>
    <w:rsid w:val="00BF56C8"/>
    <w:rsid w:val="00C06E91"/>
    <w:rsid w:val="00C13F86"/>
    <w:rsid w:val="00C23926"/>
    <w:rsid w:val="00C47890"/>
    <w:rsid w:val="00C622D7"/>
    <w:rsid w:val="00C73E1C"/>
    <w:rsid w:val="00CA4F08"/>
    <w:rsid w:val="00CB2C03"/>
    <w:rsid w:val="00CB4330"/>
    <w:rsid w:val="00CC442F"/>
    <w:rsid w:val="00CE075D"/>
    <w:rsid w:val="00CE6F2E"/>
    <w:rsid w:val="00CF4A2D"/>
    <w:rsid w:val="00D00D54"/>
    <w:rsid w:val="00D00F51"/>
    <w:rsid w:val="00D0554C"/>
    <w:rsid w:val="00D25C20"/>
    <w:rsid w:val="00D31E4D"/>
    <w:rsid w:val="00D32A96"/>
    <w:rsid w:val="00D34FB2"/>
    <w:rsid w:val="00D7654D"/>
    <w:rsid w:val="00D80043"/>
    <w:rsid w:val="00D82CBA"/>
    <w:rsid w:val="00D862C0"/>
    <w:rsid w:val="00DA54CE"/>
    <w:rsid w:val="00DC15E8"/>
    <w:rsid w:val="00DD550A"/>
    <w:rsid w:val="00DE7CA4"/>
    <w:rsid w:val="00DF2345"/>
    <w:rsid w:val="00E22D63"/>
    <w:rsid w:val="00E31968"/>
    <w:rsid w:val="00E326CA"/>
    <w:rsid w:val="00E373D8"/>
    <w:rsid w:val="00E37829"/>
    <w:rsid w:val="00E37C02"/>
    <w:rsid w:val="00E459D5"/>
    <w:rsid w:val="00E55CBF"/>
    <w:rsid w:val="00E63D2F"/>
    <w:rsid w:val="00E83086"/>
    <w:rsid w:val="00E838BE"/>
    <w:rsid w:val="00E84503"/>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35BB5"/>
    <w:rsid w:val="00F372ED"/>
    <w:rsid w:val="00F54E69"/>
    <w:rsid w:val="00F7057F"/>
    <w:rsid w:val="00F951E7"/>
    <w:rsid w:val="00FA28E8"/>
    <w:rsid w:val="00FC02E8"/>
    <w:rsid w:val="00FD66E3"/>
    <w:rsid w:val="00FE41C7"/>
    <w:rsid w:val="00FF0156"/>
    <w:rsid w:val="0395676A"/>
    <w:rsid w:val="0EE84B10"/>
    <w:rsid w:val="0F2326B4"/>
    <w:rsid w:val="0F2650EA"/>
    <w:rsid w:val="171D0286"/>
    <w:rsid w:val="18BB01FE"/>
    <w:rsid w:val="1A6657DC"/>
    <w:rsid w:val="275616EC"/>
    <w:rsid w:val="3B982938"/>
    <w:rsid w:val="3C7C62D0"/>
    <w:rsid w:val="400F5EE3"/>
    <w:rsid w:val="442609DA"/>
    <w:rsid w:val="48191080"/>
    <w:rsid w:val="4CB72577"/>
    <w:rsid w:val="4DE51F11"/>
    <w:rsid w:val="503850E1"/>
    <w:rsid w:val="597314FE"/>
    <w:rsid w:val="5B644D7C"/>
    <w:rsid w:val="64431134"/>
    <w:rsid w:val="682F1436"/>
    <w:rsid w:val="6A5C1302"/>
    <w:rsid w:val="6B5B01A5"/>
    <w:rsid w:val="6C6D6F31"/>
    <w:rsid w:val="6F0F6E72"/>
    <w:rsid w:val="78A56D06"/>
    <w:rsid w:val="79EC3A2B"/>
    <w:rsid w:val="7ADE4B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kern w:val="44"/>
      <w:sz w:val="44"/>
      <w:szCs w:val="20"/>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kern w:val="0"/>
      <w:sz w:val="32"/>
      <w:szCs w:val="20"/>
    </w:rPr>
  </w:style>
  <w:style w:type="paragraph" w:styleId="4">
    <w:name w:val="heading 3"/>
    <w:basedOn w:val="1"/>
    <w:next w:val="1"/>
    <w:link w:val="26"/>
    <w:qFormat/>
    <w:locked/>
    <w:uiPriority w:val="99"/>
    <w:pPr>
      <w:keepNext/>
      <w:keepLines/>
      <w:spacing w:before="260" w:after="260" w:line="416" w:lineRule="auto"/>
      <w:outlineLvl w:val="2"/>
    </w:pPr>
    <w:rPr>
      <w:b/>
      <w:kern w:val="0"/>
      <w:sz w:val="32"/>
      <w:szCs w:val="20"/>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qFormat/>
    <w:uiPriority w:val="99"/>
    <w:rPr>
      <w:b/>
    </w:rPr>
  </w:style>
  <w:style w:type="paragraph" w:styleId="6">
    <w:name w:val="annotation text"/>
    <w:basedOn w:val="1"/>
    <w:link w:val="27"/>
    <w:semiHidden/>
    <w:qFormat/>
    <w:uiPriority w:val="99"/>
    <w:pPr>
      <w:jc w:val="left"/>
    </w:pPr>
    <w:rPr>
      <w:kern w:val="0"/>
      <w:szCs w:val="20"/>
    </w:rPr>
  </w:style>
  <w:style w:type="paragraph" w:styleId="7">
    <w:name w:val="Normal Indent"/>
    <w:basedOn w:val="1"/>
    <w:link w:val="41"/>
    <w:qFormat/>
    <w:uiPriority w:val="99"/>
    <w:pPr>
      <w:ind w:firstLine="420"/>
    </w:pPr>
    <w:rPr>
      <w:szCs w:val="20"/>
    </w:rPr>
  </w:style>
  <w:style w:type="paragraph" w:styleId="8">
    <w:name w:val="Body Text"/>
    <w:basedOn w:val="1"/>
    <w:link w:val="29"/>
    <w:uiPriority w:val="99"/>
    <w:pPr>
      <w:spacing w:after="120"/>
    </w:pPr>
    <w:rPr>
      <w:kern w:val="0"/>
      <w:szCs w:val="20"/>
    </w:rPr>
  </w:style>
  <w:style w:type="paragraph" w:styleId="9">
    <w:name w:val="Body Text Indent"/>
    <w:basedOn w:val="1"/>
    <w:link w:val="30"/>
    <w:qFormat/>
    <w:uiPriority w:val="99"/>
    <w:pPr>
      <w:ind w:firstLine="830" w:firstLineChars="352"/>
    </w:pPr>
    <w:rPr>
      <w:kern w:val="0"/>
      <w:szCs w:val="20"/>
    </w:rPr>
  </w:style>
  <w:style w:type="paragraph" w:styleId="10">
    <w:name w:val="Plain Text"/>
    <w:basedOn w:val="1"/>
    <w:link w:val="31"/>
    <w:qFormat/>
    <w:uiPriority w:val="99"/>
    <w:rPr>
      <w:rFonts w:ascii="宋体" w:hAnsi="Courier New"/>
      <w:szCs w:val="20"/>
    </w:rPr>
  </w:style>
  <w:style w:type="paragraph" w:styleId="11">
    <w:name w:val="Balloon Text"/>
    <w:basedOn w:val="1"/>
    <w:link w:val="32"/>
    <w:semiHidden/>
    <w:qFormat/>
    <w:uiPriority w:val="99"/>
    <w:rPr>
      <w:kern w:val="0"/>
      <w:sz w:val="2"/>
      <w:szCs w:val="20"/>
    </w:rPr>
  </w:style>
  <w:style w:type="paragraph" w:styleId="12">
    <w:name w:val="footer"/>
    <w:basedOn w:val="1"/>
    <w:link w:val="33"/>
    <w:qFormat/>
    <w:uiPriority w:val="99"/>
    <w:pPr>
      <w:tabs>
        <w:tab w:val="center" w:pos="4153"/>
        <w:tab w:val="right" w:pos="8306"/>
      </w:tabs>
      <w:snapToGrid w:val="0"/>
      <w:jc w:val="left"/>
    </w:pPr>
    <w:rPr>
      <w:kern w:val="0"/>
      <w:sz w:val="18"/>
      <w:szCs w:val="20"/>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5"/>
    <w:qFormat/>
    <w:uiPriority w:val="99"/>
    <w:pPr>
      <w:spacing w:after="120" w:line="480" w:lineRule="auto"/>
    </w:pPr>
    <w:rPr>
      <w:kern w:val="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99"/>
    <w:rPr>
      <w:rFonts w:cs="Times New Roman"/>
    </w:rPr>
  </w:style>
  <w:style w:type="character" w:styleId="20">
    <w:name w:val="Hyperlink"/>
    <w:qFormat/>
    <w:uiPriority w:val="99"/>
    <w:rPr>
      <w:rFonts w:cs="Times New Roman"/>
      <w:color w:val="auto"/>
      <w:u w:val="none"/>
    </w:rPr>
  </w:style>
  <w:style w:type="character" w:styleId="21">
    <w:name w:val="annotation reference"/>
    <w:semiHidden/>
    <w:qFormat/>
    <w:uiPriority w:val="99"/>
    <w:rPr>
      <w:rFonts w:cs="Times New Roman"/>
      <w:sz w:val="21"/>
    </w:rPr>
  </w:style>
  <w:style w:type="table" w:styleId="23">
    <w:name w:val="Table Grid"/>
    <w:basedOn w:val="22"/>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1 Char"/>
    <w:link w:val="2"/>
    <w:qFormat/>
    <w:locked/>
    <w:uiPriority w:val="99"/>
    <w:rPr>
      <w:rFonts w:cs="Times New Roman"/>
      <w:b/>
      <w:kern w:val="44"/>
      <w:sz w:val="44"/>
    </w:rPr>
  </w:style>
  <w:style w:type="character" w:customStyle="1" w:styleId="25">
    <w:name w:val="标题 2 Char"/>
    <w:link w:val="3"/>
    <w:semiHidden/>
    <w:qFormat/>
    <w:locked/>
    <w:uiPriority w:val="99"/>
    <w:rPr>
      <w:rFonts w:ascii="Cambria" w:hAnsi="Cambria" w:eastAsia="宋体" w:cs="Times New Roman"/>
      <w:b/>
      <w:sz w:val="32"/>
    </w:rPr>
  </w:style>
  <w:style w:type="character" w:customStyle="1" w:styleId="26">
    <w:name w:val="标题 3 Char"/>
    <w:link w:val="4"/>
    <w:qFormat/>
    <w:locked/>
    <w:uiPriority w:val="99"/>
    <w:rPr>
      <w:rFonts w:cs="Times New Roman"/>
      <w:b/>
      <w:sz w:val="32"/>
    </w:rPr>
  </w:style>
  <w:style w:type="character" w:customStyle="1" w:styleId="27">
    <w:name w:val="批注文字 Char"/>
    <w:link w:val="6"/>
    <w:semiHidden/>
    <w:qFormat/>
    <w:locked/>
    <w:uiPriority w:val="99"/>
    <w:rPr>
      <w:rFonts w:cs="Times New Roman"/>
      <w:sz w:val="21"/>
    </w:rPr>
  </w:style>
  <w:style w:type="character" w:customStyle="1" w:styleId="28">
    <w:name w:val="批注主题 Char"/>
    <w:link w:val="5"/>
    <w:semiHidden/>
    <w:locked/>
    <w:uiPriority w:val="99"/>
    <w:rPr>
      <w:rFonts w:cs="Times New Roman"/>
      <w:b/>
      <w:sz w:val="21"/>
    </w:rPr>
  </w:style>
  <w:style w:type="character" w:customStyle="1" w:styleId="29">
    <w:name w:val="正文文本 Char"/>
    <w:link w:val="8"/>
    <w:semiHidden/>
    <w:qFormat/>
    <w:locked/>
    <w:uiPriority w:val="99"/>
    <w:rPr>
      <w:rFonts w:cs="Times New Roman"/>
      <w:sz w:val="21"/>
    </w:rPr>
  </w:style>
  <w:style w:type="character" w:customStyle="1" w:styleId="30">
    <w:name w:val="正文文本缩进 Char"/>
    <w:link w:val="9"/>
    <w:semiHidden/>
    <w:qFormat/>
    <w:locked/>
    <w:uiPriority w:val="99"/>
    <w:rPr>
      <w:rFonts w:cs="Times New Roman"/>
      <w:sz w:val="21"/>
    </w:rPr>
  </w:style>
  <w:style w:type="character" w:customStyle="1" w:styleId="31">
    <w:name w:val="纯文本 Char"/>
    <w:link w:val="10"/>
    <w:qFormat/>
    <w:locked/>
    <w:uiPriority w:val="99"/>
    <w:rPr>
      <w:rFonts w:ascii="宋体" w:hAnsi="Courier New" w:eastAsia="宋体" w:cs="Times New Roman"/>
      <w:kern w:val="2"/>
      <w:sz w:val="21"/>
      <w:lang w:val="en-US" w:eastAsia="zh-CN"/>
    </w:rPr>
  </w:style>
  <w:style w:type="character" w:customStyle="1" w:styleId="32">
    <w:name w:val="批注框文本 Char"/>
    <w:link w:val="11"/>
    <w:semiHidden/>
    <w:qFormat/>
    <w:locked/>
    <w:uiPriority w:val="99"/>
    <w:rPr>
      <w:rFonts w:cs="Times New Roman"/>
      <w:sz w:val="2"/>
    </w:rPr>
  </w:style>
  <w:style w:type="character" w:customStyle="1" w:styleId="33">
    <w:name w:val="页脚 Char"/>
    <w:link w:val="12"/>
    <w:semiHidden/>
    <w:qFormat/>
    <w:locked/>
    <w:uiPriority w:val="99"/>
    <w:rPr>
      <w:rFonts w:cs="Times New Roman"/>
      <w:sz w:val="18"/>
    </w:rPr>
  </w:style>
  <w:style w:type="character" w:customStyle="1" w:styleId="34">
    <w:name w:val="页眉 Char"/>
    <w:link w:val="13"/>
    <w:locked/>
    <w:uiPriority w:val="99"/>
    <w:rPr>
      <w:rFonts w:eastAsia="宋体" w:cs="Times New Roman"/>
      <w:kern w:val="2"/>
      <w:sz w:val="18"/>
      <w:lang w:val="en-US" w:eastAsia="zh-CN"/>
    </w:rPr>
  </w:style>
  <w:style w:type="character" w:customStyle="1" w:styleId="35">
    <w:name w:val="正文文本 2 Char"/>
    <w:link w:val="16"/>
    <w:semiHidden/>
    <w:qFormat/>
    <w:locked/>
    <w:uiPriority w:val="99"/>
    <w:rPr>
      <w:rFonts w:cs="Times New Roman"/>
      <w:sz w:val="21"/>
    </w:rPr>
  </w:style>
  <w:style w:type="paragraph" w:customStyle="1" w:styleId="36">
    <w:name w:val="Char Char"/>
    <w:basedOn w:val="1"/>
    <w:qFormat/>
    <w:uiPriority w:val="99"/>
    <w:rPr>
      <w:rFonts w:ascii="Tahoma" w:hAnsi="Tahoma" w:cs="Tahoma"/>
      <w:sz w:val="24"/>
      <w:szCs w:val="24"/>
    </w:rPr>
  </w:style>
  <w:style w:type="paragraph" w:customStyle="1" w:styleId="37">
    <w:name w:val="Char"/>
    <w:basedOn w:val="1"/>
    <w:qFormat/>
    <w:uiPriority w:val="99"/>
    <w:rPr>
      <w:rFonts w:ascii="仿宋_GB2312" w:eastAsia="仿宋_GB2312" w:cs="仿宋_GB2312"/>
      <w:b/>
      <w:bCs/>
      <w:sz w:val="32"/>
      <w:szCs w:val="32"/>
    </w:rPr>
  </w:style>
  <w:style w:type="paragraph" w:customStyle="1" w:styleId="38">
    <w:name w:val="排版"/>
    <w:basedOn w:val="1"/>
    <w:next w:val="8"/>
    <w:qFormat/>
    <w:uiPriority w:val="99"/>
    <w:pPr>
      <w:spacing w:line="600" w:lineRule="exact"/>
    </w:pPr>
    <w:rPr>
      <w:rFonts w:eastAsia="华文仿宋"/>
      <w:spacing w:val="6"/>
      <w:sz w:val="32"/>
      <w:szCs w:val="32"/>
    </w:rPr>
  </w:style>
  <w:style w:type="paragraph" w:customStyle="1" w:styleId="39">
    <w:name w:val="Char1"/>
    <w:basedOn w:val="1"/>
    <w:qFormat/>
    <w:uiPriority w:val="99"/>
    <w:pPr>
      <w:tabs>
        <w:tab w:val="right" w:pos="-2120"/>
      </w:tabs>
      <w:snapToGrid w:val="0"/>
    </w:pPr>
  </w:style>
  <w:style w:type="paragraph" w:customStyle="1" w:styleId="40">
    <w:name w:val="列出段落1"/>
    <w:basedOn w:val="1"/>
    <w:qFormat/>
    <w:uiPriority w:val="99"/>
    <w:pPr>
      <w:ind w:firstLine="420" w:firstLineChars="200"/>
    </w:pPr>
  </w:style>
  <w:style w:type="character" w:customStyle="1" w:styleId="41">
    <w:name w:val="正文缩进 Char"/>
    <w:link w:val="7"/>
    <w:locked/>
    <w:uiPriority w:val="99"/>
    <w:rPr>
      <w:rFonts w:eastAsia="宋体"/>
      <w:kern w:val="2"/>
      <w:sz w:val="21"/>
      <w:lang w:val="en-US" w:eastAsia="zh-CN"/>
    </w:rPr>
  </w:style>
  <w:style w:type="paragraph" w:customStyle="1" w:styleId="42">
    <w:name w:val="列出段落2"/>
    <w:basedOn w:val="1"/>
    <w:qFormat/>
    <w:uiPriority w:val="99"/>
    <w:pPr>
      <w:ind w:firstLine="420" w:firstLineChars="200"/>
    </w:pPr>
  </w:style>
  <w:style w:type="paragraph" w:customStyle="1" w:styleId="4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默认段落字体 Para Char"/>
    <w:basedOn w:val="1"/>
    <w:qFormat/>
    <w:uiPriority w:val="99"/>
    <w:pPr>
      <w:tabs>
        <w:tab w:val="left" w:pos="360"/>
      </w:tabs>
      <w:ind w:left="420" w:hanging="420"/>
    </w:pPr>
    <w:rPr>
      <w:sz w:val="24"/>
      <w:szCs w:val="24"/>
    </w:rPr>
  </w:style>
  <w:style w:type="character" w:customStyle="1" w:styleId="45">
    <w:name w:val="font61"/>
    <w:basedOn w:val="18"/>
    <w:uiPriority w:val="0"/>
    <w:rPr>
      <w:rFonts w:hint="eastAsia" w:ascii="宋体" w:hAnsi="宋体" w:eastAsia="宋体" w:cs="宋体"/>
      <w:b/>
      <w:color w:val="000000"/>
      <w:sz w:val="24"/>
      <w:szCs w:val="24"/>
      <w:u w:val="none"/>
    </w:rPr>
  </w:style>
  <w:style w:type="character" w:customStyle="1" w:styleId="46">
    <w:name w:val="font41"/>
    <w:basedOn w:val="18"/>
    <w:qFormat/>
    <w:uiPriority w:val="0"/>
    <w:rPr>
      <w:rFonts w:hint="eastAsia" w:ascii="宋体" w:hAnsi="宋体" w:eastAsia="宋体" w:cs="宋体"/>
      <w:b/>
      <w:color w:val="000000"/>
      <w:sz w:val="24"/>
      <w:szCs w:val="24"/>
      <w:u w:val="none"/>
    </w:rPr>
  </w:style>
  <w:style w:type="character" w:customStyle="1" w:styleId="47">
    <w:name w:val="font51"/>
    <w:basedOn w:val="18"/>
    <w:qFormat/>
    <w:uiPriority w:val="0"/>
    <w:rPr>
      <w:rFonts w:hint="eastAsia" w:ascii="宋体" w:hAnsi="宋体" w:eastAsia="宋体" w:cs="宋体"/>
      <w:b/>
      <w:color w:val="000000"/>
      <w:sz w:val="24"/>
      <w:szCs w:val="24"/>
      <w:u w:val="none"/>
    </w:rPr>
  </w:style>
  <w:style w:type="paragraph" w:customStyle="1" w:styleId="4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5D755-AC53-4479-B360-9AC96BEA02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442</Words>
  <Characters>2524</Characters>
  <Lines>21</Lines>
  <Paragraphs>5</Paragraphs>
  <ScaleCrop>false</ScaleCrop>
  <LinksUpToDate>false</LinksUpToDate>
  <CharactersWithSpaces>2961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2017-10-20T02:05:00Z</dcterms:created>
  <dc:creator>微软用户</dc:creator>
  <cp:lastModifiedBy>admin</cp:lastModifiedBy>
  <cp:lastPrinted>2017-10-13T02:02:00Z</cp:lastPrinted>
  <dcterms:modified xsi:type="dcterms:W3CDTF">2017-10-20T08:19:20Z</dcterms:modified>
  <dc:title>湖北省省级政府采购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