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rPr>
      </w:pPr>
    </w:p>
    <w:p>
      <w:pPr>
        <w:jc w:val="right"/>
        <w:rPr>
          <w:sz w:val="32"/>
          <w:szCs w:val="32"/>
        </w:rPr>
      </w:pPr>
      <w:r>
        <w:drawing>
          <wp:inline distT="0" distB="0" distL="0" distR="0">
            <wp:extent cx="953770" cy="925195"/>
            <wp:effectExtent l="19050" t="0" r="0" b="0"/>
            <wp:docPr id="1"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校徽.jpg"/>
                    <pic:cNvPicPr>
                      <a:picLocks noChangeAspect="1"/>
                    </pic:cNvPicPr>
                  </pic:nvPicPr>
                  <pic:blipFill>
                    <a:blip r:embed="rId5"/>
                    <a:stretch>
                      <a:fillRect/>
                    </a:stretch>
                  </pic:blipFill>
                  <pic:spPr>
                    <a:xfrm>
                      <a:off x="0" y="0"/>
                      <a:ext cx="956702" cy="927856"/>
                    </a:xfrm>
                    <a:prstGeom prst="rect">
                      <a:avLst/>
                    </a:prstGeom>
                  </pic:spPr>
                </pic:pic>
              </a:graphicData>
            </a:graphic>
          </wp:inline>
        </w:drawing>
      </w:r>
      <w:r>
        <w:rPr>
          <w:rFonts w:hint="eastAsia"/>
        </w:rPr>
        <w:t xml:space="preserve">    </w:t>
      </w:r>
    </w:p>
    <w:p>
      <w:pPr>
        <w:jc w:val="center"/>
        <w:rPr>
          <w:sz w:val="32"/>
          <w:szCs w:val="32"/>
        </w:rPr>
      </w:pPr>
      <w:r>
        <w:rPr>
          <w:sz w:val="32"/>
          <w:szCs w:val="32"/>
        </w:rPr>
        <w:drawing>
          <wp:inline distT="0" distB="0" distL="0" distR="0">
            <wp:extent cx="3432810" cy="1109345"/>
            <wp:effectExtent l="19050" t="0" r="0" b="0"/>
            <wp:docPr id="2"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名.jpg"/>
                    <pic:cNvPicPr>
                      <a:picLocks noChangeAspect="1"/>
                    </pic:cNvPicPr>
                  </pic:nvPicPr>
                  <pic:blipFill>
                    <a:blip r:embed="rId6"/>
                    <a:stretch>
                      <a:fillRect/>
                    </a:stretch>
                  </pic:blipFill>
                  <pic:spPr>
                    <a:xfrm>
                      <a:off x="0" y="0"/>
                      <a:ext cx="3435121" cy="1110343"/>
                    </a:xfrm>
                    <a:prstGeom prst="rect">
                      <a:avLst/>
                    </a:prstGeom>
                  </pic:spPr>
                </pic:pic>
              </a:graphicData>
            </a:graphic>
          </wp:inline>
        </w:drawing>
      </w:r>
    </w:p>
    <w:p>
      <w:pPr>
        <w:jc w:val="center"/>
        <w:rPr>
          <w:sz w:val="32"/>
          <w:szCs w:val="32"/>
        </w:rPr>
      </w:pPr>
    </w:p>
    <w:p>
      <w:pPr>
        <w:jc w:val="center"/>
        <w:rPr>
          <w:rFonts w:ascii="黑体" w:hAnsi="黑体" w:eastAsia="黑体"/>
          <w:b/>
          <w:sz w:val="88"/>
          <w:szCs w:val="88"/>
        </w:rPr>
      </w:pPr>
      <w:r>
        <w:rPr>
          <w:rFonts w:hint="eastAsia" w:ascii="黑体" w:hAnsi="黑体" w:eastAsia="黑体"/>
          <w:b/>
          <w:sz w:val="88"/>
          <w:szCs w:val="88"/>
        </w:rPr>
        <w:t>竞争性磋商文件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8"/>
          <w:szCs w:val="28"/>
        </w:rPr>
      </w:pPr>
      <w:r>
        <w:rPr>
          <w:rFonts w:hint="eastAsia"/>
          <w:sz w:val="28"/>
          <w:szCs w:val="28"/>
        </w:rPr>
        <w:t>项目名称：长江大学农业科技产业园试验小区农田改造工程</w:t>
      </w:r>
    </w:p>
    <w:p>
      <w:pPr>
        <w:ind w:firstLine="560" w:firstLineChars="200"/>
        <w:jc w:val="left"/>
        <w:rPr>
          <w:sz w:val="28"/>
          <w:szCs w:val="28"/>
        </w:rPr>
      </w:pPr>
      <w:r>
        <w:rPr>
          <w:rFonts w:hint="eastAsia"/>
          <w:sz w:val="28"/>
          <w:szCs w:val="28"/>
        </w:rPr>
        <w:t>项目编号：CDCG2018-019</w:t>
      </w:r>
    </w:p>
    <w:p>
      <w:pPr>
        <w:ind w:firstLine="560" w:firstLineChars="200"/>
        <w:jc w:val="left"/>
        <w:rPr>
          <w:sz w:val="28"/>
          <w:szCs w:val="28"/>
        </w:rPr>
      </w:pPr>
      <w:r>
        <w:rPr>
          <w:rFonts w:hint="eastAsia"/>
          <w:sz w:val="28"/>
          <w:szCs w:val="28"/>
        </w:rPr>
        <w:t>采购单位：资产经营管理有限公司</w:t>
      </w:r>
    </w:p>
    <w:p>
      <w:pPr>
        <w:ind w:firstLine="560" w:firstLineChars="200"/>
        <w:jc w:val="left"/>
        <w:rPr>
          <w:sz w:val="28"/>
          <w:szCs w:val="28"/>
        </w:rPr>
      </w:pPr>
      <w:r>
        <w:rPr>
          <w:rFonts w:hint="eastAsia"/>
          <w:sz w:val="28"/>
          <w:szCs w:val="28"/>
        </w:rPr>
        <w:t>采购时间：2018年1月28日</w:t>
      </w:r>
    </w:p>
    <w:p>
      <w:pPr>
        <w:jc w:val="center"/>
        <w:rPr>
          <w:sz w:val="28"/>
          <w:szCs w:val="28"/>
        </w:rPr>
      </w:pPr>
    </w:p>
    <w:p>
      <w:pPr>
        <w:jc w:val="center"/>
        <w:rPr>
          <w:sz w:val="28"/>
          <w:szCs w:val="28"/>
        </w:rPr>
      </w:pPr>
    </w:p>
    <w:p>
      <w:pPr>
        <w:jc w:val="center"/>
        <w:rPr>
          <w:sz w:val="28"/>
          <w:szCs w:val="28"/>
        </w:rPr>
      </w:pPr>
    </w:p>
    <w:p>
      <w:pPr>
        <w:jc w:val="center"/>
        <w:rPr>
          <w:sz w:val="28"/>
          <w:szCs w:val="28"/>
        </w:rPr>
      </w:pPr>
      <w:r>
        <w:rPr>
          <w:rFonts w:hint="eastAsia"/>
          <w:sz w:val="28"/>
          <w:szCs w:val="28"/>
        </w:rPr>
        <w:t>长江大学采购与招投标管理处</w:t>
      </w:r>
    </w:p>
    <w:p>
      <w:pPr>
        <w:jc w:val="center"/>
        <w:rPr>
          <w:sz w:val="28"/>
          <w:szCs w:val="28"/>
        </w:rPr>
      </w:pPr>
      <w:r>
        <w:rPr>
          <w:rFonts w:hint="eastAsia"/>
          <w:sz w:val="28"/>
          <w:szCs w:val="28"/>
        </w:rPr>
        <w:t>二</w:t>
      </w:r>
      <w:r>
        <w:rPr>
          <w:rFonts w:hint="eastAsia" w:asciiTheme="minorEastAsia" w:hAnsiTheme="minorEastAsia"/>
          <w:sz w:val="28"/>
          <w:szCs w:val="28"/>
        </w:rPr>
        <w:t>○一八年一月</w:t>
      </w:r>
    </w:p>
    <w:p>
      <w:pPr>
        <w:pStyle w:val="2"/>
        <w:spacing w:before="240" w:after="240" w:line="400" w:lineRule="exact"/>
        <w:jc w:val="center"/>
        <w:rPr>
          <w:sz w:val="30"/>
          <w:szCs w:val="30"/>
        </w:rPr>
      </w:pPr>
      <w:r>
        <w:rPr>
          <w:rFonts w:hint="eastAsia"/>
          <w:sz w:val="30"/>
          <w:szCs w:val="30"/>
        </w:rPr>
        <w:t>第一章</w:t>
      </w:r>
      <w:r>
        <w:rPr>
          <w:sz w:val="30"/>
          <w:szCs w:val="30"/>
        </w:rPr>
        <w:t xml:space="preserve"> </w:t>
      </w:r>
      <w:r>
        <w:rPr>
          <w:rFonts w:hint="eastAsia"/>
          <w:sz w:val="30"/>
          <w:szCs w:val="30"/>
        </w:rPr>
        <w:t>招标邀请函</w:t>
      </w:r>
    </w:p>
    <w:p>
      <w:pPr>
        <w:spacing w:line="400" w:lineRule="exact"/>
        <w:ind w:firstLine="480" w:firstLineChars="200"/>
        <w:rPr>
          <w:rFonts w:ascii="宋体" w:hAnsi="宋体"/>
          <w:sz w:val="24"/>
        </w:rPr>
      </w:pPr>
      <w:r>
        <w:rPr>
          <w:rFonts w:hint="eastAsia" w:ascii="宋体" w:hAnsi="宋体"/>
          <w:sz w:val="24"/>
        </w:rPr>
        <w:t>长江大学资产经营管理有限公司承担“长江大学农业科技产业园试验小区农田改造工程”招标工作，欢迎满足资格要求的相关单位前来参加，具体事宜公告如下：</w:t>
      </w:r>
    </w:p>
    <w:p>
      <w:pPr>
        <w:spacing w:line="400" w:lineRule="exact"/>
        <w:ind w:firstLine="480" w:firstLineChars="200"/>
        <w:rPr>
          <w:rFonts w:ascii="宋体" w:hAnsi="宋体"/>
          <w:sz w:val="24"/>
        </w:rPr>
      </w:pPr>
      <w:r>
        <w:rPr>
          <w:rFonts w:hint="eastAsia" w:ascii="宋体" w:hAnsi="宋体"/>
          <w:sz w:val="24"/>
        </w:rPr>
        <w:t>一、采购项目编号：CDCG2018-019</w:t>
      </w:r>
    </w:p>
    <w:p>
      <w:pPr>
        <w:spacing w:line="400" w:lineRule="exact"/>
        <w:ind w:firstLine="480" w:firstLineChars="200"/>
        <w:rPr>
          <w:rFonts w:ascii="宋体" w:hAnsi="宋体"/>
          <w:sz w:val="24"/>
        </w:rPr>
      </w:pPr>
      <w:r>
        <w:rPr>
          <w:rFonts w:hint="eastAsia" w:ascii="宋体" w:hAnsi="宋体"/>
          <w:sz w:val="24"/>
        </w:rPr>
        <w:t>二、采购项目名称：长江大学农业科技产业园试验小区农田改造工程</w:t>
      </w:r>
    </w:p>
    <w:p>
      <w:pPr>
        <w:spacing w:line="400" w:lineRule="exact"/>
        <w:ind w:firstLine="480" w:firstLineChars="200"/>
        <w:rPr>
          <w:rFonts w:ascii="宋体" w:hAnsi="宋体"/>
          <w:sz w:val="24"/>
        </w:rPr>
      </w:pPr>
      <w:r>
        <w:rPr>
          <w:rFonts w:hint="eastAsia" w:ascii="宋体" w:hAnsi="宋体"/>
          <w:sz w:val="24"/>
        </w:rPr>
        <w:t>三、招标内容：</w:t>
      </w:r>
    </w:p>
    <w:p>
      <w:pPr>
        <w:spacing w:line="400" w:lineRule="exact"/>
        <w:ind w:firstLine="480" w:firstLineChars="200"/>
        <w:rPr>
          <w:rFonts w:ascii="宋体" w:hAnsi="宋体"/>
          <w:sz w:val="24"/>
        </w:rPr>
      </w:pPr>
      <w:r>
        <w:rPr>
          <w:rFonts w:hint="eastAsia" w:ascii="宋体" w:hAnsi="宋体"/>
          <w:sz w:val="24"/>
        </w:rPr>
        <w:t>长江大学农业科技产业园试验小区农田改造工程。预算控制价：127,824.05元。</w:t>
      </w:r>
    </w:p>
    <w:p>
      <w:pPr>
        <w:spacing w:line="400" w:lineRule="exact"/>
        <w:ind w:firstLine="480" w:firstLineChars="200"/>
        <w:rPr>
          <w:rFonts w:ascii="宋体" w:hAnsi="宋体"/>
          <w:sz w:val="24"/>
        </w:rPr>
      </w:pPr>
      <w:r>
        <w:rPr>
          <w:rFonts w:hint="eastAsia" w:ascii="宋体" w:hAnsi="宋体"/>
          <w:sz w:val="24"/>
        </w:rPr>
        <w:t>四、采购方式：竞争性磋商</w:t>
      </w:r>
    </w:p>
    <w:p>
      <w:pPr>
        <w:spacing w:line="400" w:lineRule="exact"/>
        <w:ind w:firstLine="480" w:firstLineChars="200"/>
        <w:rPr>
          <w:rFonts w:ascii="宋体" w:hAnsi="宋体"/>
          <w:sz w:val="24"/>
        </w:rPr>
      </w:pPr>
      <w:r>
        <w:rPr>
          <w:rFonts w:hint="eastAsia" w:ascii="宋体" w:hAnsi="宋体"/>
          <w:sz w:val="24"/>
        </w:rPr>
        <w:t>五、投标人资格：</w:t>
      </w:r>
    </w:p>
    <w:p>
      <w:pPr>
        <w:spacing w:line="400" w:lineRule="exact"/>
        <w:ind w:firstLine="480" w:firstLineChars="200"/>
        <w:rPr>
          <w:rFonts w:ascii="宋体" w:hAnsi="宋体"/>
          <w:sz w:val="24"/>
        </w:rPr>
      </w:pPr>
      <w:r>
        <w:rPr>
          <w:rFonts w:hint="eastAsia" w:ascii="宋体" w:hAnsi="宋体"/>
          <w:sz w:val="24"/>
        </w:rPr>
        <w:t>1、投标人应具备《政府采购法》第二十二条规定的条件；必须是中华人民共和国境内注册并取得营业执照的独立法人；</w:t>
      </w:r>
    </w:p>
    <w:p>
      <w:pPr>
        <w:spacing w:line="400" w:lineRule="exact"/>
        <w:ind w:firstLine="480" w:firstLineChars="200"/>
        <w:rPr>
          <w:rFonts w:ascii="宋体" w:hAnsi="宋体"/>
          <w:sz w:val="24"/>
        </w:rPr>
      </w:pPr>
      <w:r>
        <w:rPr>
          <w:rFonts w:hint="eastAsia" w:ascii="宋体" w:hAnsi="宋体"/>
          <w:sz w:val="24"/>
        </w:rPr>
        <w:t>2、投标人必须具备建筑施工总承包三级及以上或建筑装修装饰工程专业承包二级及以上资质；</w:t>
      </w:r>
    </w:p>
    <w:p>
      <w:pPr>
        <w:spacing w:line="440" w:lineRule="exact"/>
        <w:ind w:firstLine="484" w:firstLineChars="202"/>
        <w:rPr>
          <w:rFonts w:ascii="宋体" w:hAnsi="宋体"/>
          <w:sz w:val="24"/>
        </w:rPr>
      </w:pPr>
      <w:r>
        <w:rPr>
          <w:rFonts w:hint="eastAsia" w:ascii="宋体" w:hAnsi="宋体"/>
          <w:sz w:val="24"/>
        </w:rPr>
        <w:t>3、投标人在“信用中国”（www.creditchina.gov.cn）网站中未被列入失信被执行人、重大税收违法案件当事人名单、政府采购严重违法失信行为记录名单；</w:t>
      </w:r>
    </w:p>
    <w:p>
      <w:pPr>
        <w:spacing w:line="440" w:lineRule="exact"/>
        <w:ind w:firstLine="484" w:firstLineChars="202"/>
        <w:rPr>
          <w:rFonts w:ascii="宋体" w:hAnsi="宋体"/>
          <w:sz w:val="24"/>
        </w:rPr>
      </w:pPr>
      <w:r>
        <w:rPr>
          <w:rFonts w:hint="eastAsia" w:ascii="宋体" w:hAnsi="宋体"/>
          <w:sz w:val="24"/>
        </w:rPr>
        <w:t>4、本项目不接受联合体投标；</w:t>
      </w:r>
    </w:p>
    <w:p>
      <w:pPr>
        <w:spacing w:line="440" w:lineRule="exact"/>
        <w:ind w:firstLine="484" w:firstLineChars="202"/>
        <w:rPr>
          <w:rFonts w:ascii="宋体" w:hAnsi="宋体"/>
          <w:sz w:val="24"/>
        </w:rPr>
      </w:pPr>
      <w:r>
        <w:rPr>
          <w:rFonts w:hint="eastAsia" w:ascii="宋体" w:hAnsi="宋体"/>
          <w:sz w:val="24"/>
        </w:rPr>
        <w:t>5、投标人必须具备企业安全生产许可证；</w:t>
      </w:r>
    </w:p>
    <w:p>
      <w:pPr>
        <w:spacing w:line="400" w:lineRule="exact"/>
        <w:ind w:firstLine="480" w:firstLineChars="200"/>
        <w:rPr>
          <w:rFonts w:ascii="宋体"/>
          <w:color w:val="auto"/>
          <w:sz w:val="24"/>
        </w:rPr>
      </w:pPr>
      <w:r>
        <w:rPr>
          <w:rFonts w:hint="eastAsia" w:ascii="宋体" w:hAnsi="宋体"/>
          <w:color w:val="auto"/>
          <w:sz w:val="24"/>
        </w:rPr>
        <w:t>六、招标文件的领取：</w:t>
      </w:r>
      <w:r>
        <w:rPr>
          <w:rFonts w:ascii="宋体" w:hAnsi="宋体"/>
          <w:color w:val="auto"/>
          <w:sz w:val="24"/>
        </w:rPr>
        <w:t>(</w:t>
      </w:r>
      <w:r>
        <w:rPr>
          <w:rFonts w:hint="eastAsia" w:ascii="宋体" w:hAnsi="宋体"/>
          <w:color w:val="auto"/>
          <w:sz w:val="24"/>
        </w:rPr>
        <w:t>每份3</w:t>
      </w:r>
      <w:r>
        <w:rPr>
          <w:rFonts w:ascii="宋体" w:hAnsi="宋体"/>
          <w:color w:val="auto"/>
          <w:sz w:val="24"/>
        </w:rPr>
        <w:t>00</w:t>
      </w:r>
      <w:r>
        <w:rPr>
          <w:rFonts w:hint="eastAsia" w:ascii="宋体" w:hAnsi="宋体"/>
          <w:color w:val="auto"/>
          <w:sz w:val="24"/>
        </w:rPr>
        <w:t>元，无论中标与否费用不退还</w:t>
      </w:r>
      <w:r>
        <w:rPr>
          <w:rFonts w:ascii="宋体" w:hAnsi="宋体"/>
          <w:color w:val="auto"/>
          <w:sz w:val="24"/>
        </w:rPr>
        <w:t>)</w:t>
      </w:r>
      <w:r>
        <w:rPr>
          <w:rFonts w:hint="eastAsia" w:ascii="宋体" w:hAnsi="宋体"/>
          <w:color w:val="auto"/>
          <w:sz w:val="24"/>
        </w:rPr>
        <w:t>：</w:t>
      </w:r>
    </w:p>
    <w:p>
      <w:pPr>
        <w:spacing w:line="400" w:lineRule="exact"/>
        <w:ind w:firstLine="480" w:firstLineChars="200"/>
        <w:rPr>
          <w:rFonts w:hint="eastAsia" w:ascii="宋体" w:hAnsi="宋体"/>
          <w:color w:val="auto"/>
          <w:sz w:val="24"/>
        </w:rPr>
      </w:pPr>
      <w:r>
        <w:rPr>
          <w:rFonts w:hint="eastAsia" w:ascii="宋体" w:hAnsi="宋体"/>
          <w:color w:val="auto"/>
          <w:sz w:val="24"/>
        </w:rPr>
        <w:t>报名时间和地点：投标人可在</w:t>
      </w:r>
      <w:r>
        <w:rPr>
          <w:rFonts w:ascii="宋体" w:hAnsi="宋体"/>
          <w:color w:val="auto"/>
          <w:sz w:val="24"/>
        </w:rPr>
        <w:t>201</w:t>
      </w:r>
      <w:r>
        <w:rPr>
          <w:rFonts w:hint="eastAsia" w:ascii="宋体" w:hAnsi="宋体"/>
          <w:color w:val="auto"/>
          <w:sz w:val="24"/>
        </w:rPr>
        <w:t>8年1月30日起至</w:t>
      </w:r>
      <w:r>
        <w:rPr>
          <w:rFonts w:ascii="宋体" w:hAnsi="宋体"/>
          <w:color w:val="auto"/>
          <w:sz w:val="24"/>
        </w:rPr>
        <w:t xml:space="preserve"> 201</w:t>
      </w:r>
      <w:r>
        <w:rPr>
          <w:rFonts w:hint="eastAsia" w:ascii="宋体" w:hAnsi="宋体"/>
          <w:color w:val="auto"/>
          <w:sz w:val="24"/>
        </w:rPr>
        <w:t>8年2月4日，每日上午</w:t>
      </w:r>
      <w:r>
        <w:rPr>
          <w:rFonts w:ascii="宋体" w:hAnsi="宋体"/>
          <w:color w:val="auto"/>
          <w:sz w:val="24"/>
        </w:rPr>
        <w:t>9</w:t>
      </w:r>
      <w:r>
        <w:rPr>
          <w:rFonts w:hint="eastAsia" w:ascii="宋体" w:hAnsi="宋体"/>
          <w:color w:val="auto"/>
          <w:sz w:val="24"/>
        </w:rPr>
        <w:t>时至</w:t>
      </w:r>
      <w:r>
        <w:rPr>
          <w:rFonts w:ascii="宋体" w:hAnsi="宋体"/>
          <w:color w:val="auto"/>
          <w:sz w:val="24"/>
        </w:rPr>
        <w:t>11</w:t>
      </w:r>
      <w:r>
        <w:rPr>
          <w:rFonts w:hint="eastAsia" w:ascii="宋体" w:hAnsi="宋体"/>
          <w:color w:val="auto"/>
          <w:sz w:val="24"/>
        </w:rPr>
        <w:t>:30时，</w:t>
      </w:r>
      <w:bookmarkStart w:id="32" w:name="_GoBack"/>
      <w:bookmarkEnd w:id="32"/>
    </w:p>
    <w:p>
      <w:pPr>
        <w:spacing w:line="400" w:lineRule="exact"/>
        <w:ind w:firstLine="480" w:firstLineChars="200"/>
        <w:rPr>
          <w:rFonts w:ascii="宋体"/>
          <w:color w:val="auto"/>
          <w:sz w:val="24"/>
        </w:rPr>
      </w:pPr>
      <w:r>
        <w:rPr>
          <w:rFonts w:hint="eastAsia" w:ascii="宋体" w:hAnsi="宋体"/>
          <w:color w:val="auto"/>
          <w:sz w:val="24"/>
        </w:rPr>
        <w:t>到长江大学农业科技产业园（荆州市太湖港管理区以西一公里）。</w:t>
      </w:r>
    </w:p>
    <w:p>
      <w:pPr>
        <w:spacing w:line="400" w:lineRule="exact"/>
        <w:ind w:firstLine="480" w:firstLineChars="200"/>
        <w:rPr>
          <w:rFonts w:ascii="宋体" w:hAnsi="宋体"/>
          <w:color w:val="auto"/>
          <w:sz w:val="24"/>
        </w:rPr>
      </w:pPr>
      <w:r>
        <w:rPr>
          <w:rFonts w:hint="eastAsia" w:ascii="宋体" w:hAnsi="宋体"/>
          <w:color w:val="auto"/>
          <w:sz w:val="24"/>
        </w:rPr>
        <w:t>联系人：</w:t>
      </w:r>
      <w:r>
        <w:rPr>
          <w:rFonts w:ascii="宋体" w:hAnsi="宋体"/>
          <w:color w:val="auto"/>
          <w:sz w:val="24"/>
        </w:rPr>
        <w:t xml:space="preserve"> </w:t>
      </w:r>
      <w:r>
        <w:rPr>
          <w:rFonts w:hint="eastAsia" w:ascii="宋体" w:hAnsi="宋体"/>
          <w:color w:val="auto"/>
          <w:sz w:val="24"/>
        </w:rPr>
        <w:t>张经理</w:t>
      </w:r>
      <w:r>
        <w:rPr>
          <w:rFonts w:ascii="宋体" w:hAnsi="宋体"/>
          <w:color w:val="auto"/>
          <w:sz w:val="24"/>
        </w:rPr>
        <w:t xml:space="preserve">   </w:t>
      </w:r>
      <w:r>
        <w:rPr>
          <w:rFonts w:hint="eastAsia" w:ascii="宋体" w:hAnsi="宋体"/>
          <w:color w:val="auto"/>
          <w:sz w:val="24"/>
        </w:rPr>
        <w:t>电话：13986692909</w:t>
      </w:r>
    </w:p>
    <w:p>
      <w:pPr>
        <w:spacing w:line="440" w:lineRule="exact"/>
        <w:ind w:firstLine="484" w:firstLineChars="202"/>
        <w:rPr>
          <w:rFonts w:ascii="宋体" w:hAnsi="宋体"/>
          <w:color w:val="auto"/>
          <w:sz w:val="24"/>
        </w:rPr>
      </w:pPr>
      <w:r>
        <w:rPr>
          <w:rFonts w:hint="eastAsia" w:ascii="宋体" w:hAnsi="宋体"/>
          <w:color w:val="auto"/>
          <w:sz w:val="24"/>
        </w:rPr>
        <w:t>投标人报名时需携带以下文件：营业执照副本、税务登记证副本、组织机构代码证副本、建筑施工总承包三级及以上或建筑装修装饰专业承包二级及以上资质证书、安全生产许可证、法人授权委托书及被委托人身份证等材料的原件和复印件（复印件注明用途加盖公章留存）。</w:t>
      </w:r>
    </w:p>
    <w:p>
      <w:pPr>
        <w:spacing w:line="400" w:lineRule="exact"/>
        <w:ind w:firstLine="480" w:firstLineChars="200"/>
        <w:rPr>
          <w:rFonts w:ascii="宋体" w:hAnsi="宋体"/>
          <w:color w:val="auto"/>
          <w:sz w:val="24"/>
        </w:rPr>
      </w:pPr>
      <w:r>
        <w:rPr>
          <w:rFonts w:hint="eastAsia" w:ascii="宋体" w:hAnsi="宋体"/>
          <w:color w:val="auto"/>
          <w:sz w:val="24"/>
        </w:rPr>
        <w:t>七、踏勘时间、投标截止、评标时间及投标文件的递交：</w:t>
      </w:r>
    </w:p>
    <w:p>
      <w:pPr>
        <w:spacing w:line="440" w:lineRule="exact"/>
        <w:ind w:firstLine="484" w:firstLineChars="202"/>
        <w:rPr>
          <w:rFonts w:ascii="宋体" w:hAnsi="宋体"/>
          <w:color w:val="auto"/>
          <w:sz w:val="24"/>
        </w:rPr>
      </w:pPr>
      <w:r>
        <w:rPr>
          <w:rFonts w:hint="eastAsia" w:ascii="宋体" w:hAnsi="宋体"/>
          <w:color w:val="auto"/>
          <w:sz w:val="24"/>
        </w:rPr>
        <w:t>踏勘时间： 2018年2月24日上午9:30，各投标人在长江大学农业科技产业园统一集合踏勘；</w:t>
      </w:r>
    </w:p>
    <w:p>
      <w:pPr>
        <w:spacing w:line="440" w:lineRule="exact"/>
        <w:ind w:firstLine="484" w:firstLineChars="202"/>
        <w:rPr>
          <w:rFonts w:ascii="宋体" w:hAnsi="宋体"/>
          <w:color w:val="auto"/>
          <w:sz w:val="24"/>
        </w:rPr>
      </w:pPr>
      <w:r>
        <w:rPr>
          <w:rFonts w:hint="eastAsia" w:ascii="宋体" w:hAnsi="宋体"/>
          <w:color w:val="auto"/>
          <w:sz w:val="24"/>
        </w:rPr>
        <w:t>投标文件递交时间：</w:t>
      </w:r>
      <w:r>
        <w:rPr>
          <w:rFonts w:ascii="宋体" w:hAnsi="宋体"/>
          <w:color w:val="auto"/>
          <w:sz w:val="24"/>
        </w:rPr>
        <w:t>201</w:t>
      </w:r>
      <w:r>
        <w:rPr>
          <w:rFonts w:hint="eastAsia" w:ascii="宋体" w:hAnsi="宋体"/>
          <w:color w:val="auto"/>
          <w:sz w:val="24"/>
        </w:rPr>
        <w:t>8年2月27日上午8</w:t>
      </w:r>
      <w:r>
        <w:rPr>
          <w:rFonts w:ascii="宋体" w:hAnsi="宋体"/>
          <w:color w:val="auto"/>
          <w:sz w:val="24"/>
        </w:rPr>
        <w:t>:</w:t>
      </w:r>
      <w:r>
        <w:rPr>
          <w:rFonts w:hint="eastAsia" w:ascii="宋体" w:hAnsi="宋体"/>
          <w:color w:val="auto"/>
          <w:sz w:val="24"/>
        </w:rPr>
        <w:t>3</w:t>
      </w:r>
      <w:r>
        <w:rPr>
          <w:rFonts w:ascii="宋体" w:hAnsi="宋体"/>
          <w:color w:val="auto"/>
          <w:sz w:val="24"/>
        </w:rPr>
        <w:t>0</w:t>
      </w:r>
      <w:r>
        <w:rPr>
          <w:rFonts w:hint="eastAsia" w:ascii="宋体" w:hAnsi="宋体"/>
          <w:color w:val="auto"/>
          <w:sz w:val="24"/>
        </w:rPr>
        <w:t>至10</w:t>
      </w:r>
      <w:r>
        <w:rPr>
          <w:rFonts w:ascii="宋体" w:hAnsi="宋体"/>
          <w:color w:val="auto"/>
          <w:sz w:val="24"/>
        </w:rPr>
        <w:t>:</w:t>
      </w:r>
      <w:r>
        <w:rPr>
          <w:rFonts w:hint="eastAsia" w:ascii="宋体" w:hAnsi="宋体"/>
          <w:color w:val="auto"/>
          <w:sz w:val="24"/>
        </w:rPr>
        <w:t>0</w:t>
      </w:r>
      <w:r>
        <w:rPr>
          <w:rFonts w:ascii="宋体" w:hAnsi="宋体"/>
          <w:color w:val="auto"/>
          <w:sz w:val="24"/>
        </w:rPr>
        <w:t>0</w:t>
      </w:r>
      <w:r>
        <w:rPr>
          <w:rFonts w:hint="eastAsia" w:ascii="宋体" w:hAnsi="宋体"/>
          <w:color w:val="auto"/>
          <w:sz w:val="24"/>
        </w:rPr>
        <w:t>分，逾期不受理投标。</w:t>
      </w:r>
    </w:p>
    <w:p>
      <w:pPr>
        <w:spacing w:line="440" w:lineRule="exact"/>
        <w:ind w:firstLine="484" w:firstLineChars="202"/>
        <w:rPr>
          <w:rFonts w:ascii="宋体" w:hAnsi="宋体"/>
          <w:color w:val="auto"/>
          <w:sz w:val="24"/>
        </w:rPr>
      </w:pPr>
      <w:r>
        <w:rPr>
          <w:rFonts w:hint="eastAsia" w:ascii="宋体" w:hAnsi="宋体"/>
          <w:color w:val="auto"/>
          <w:sz w:val="24"/>
        </w:rPr>
        <w:t>投标文件递交及评标地点：长江大学农业科技产业园（荆州市太湖港管理区以西一公里）。</w:t>
      </w:r>
    </w:p>
    <w:p>
      <w:pPr>
        <w:spacing w:line="400" w:lineRule="exact"/>
        <w:ind w:firstLine="480" w:firstLineChars="200"/>
        <w:rPr>
          <w:rFonts w:ascii="宋体"/>
          <w:color w:val="auto"/>
          <w:sz w:val="24"/>
        </w:rPr>
      </w:pPr>
      <w:r>
        <w:rPr>
          <w:rFonts w:hint="eastAsia" w:ascii="宋体" w:hAnsi="宋体"/>
          <w:color w:val="auto"/>
          <w:sz w:val="24"/>
        </w:rPr>
        <w:t>八、本项目已进入招标程序，如对招标公告及文件有疑异，请向长江大学采购与招投标管理处质疑。如质疑答复不满意，在答复期满后</w:t>
      </w:r>
      <w:r>
        <w:rPr>
          <w:rFonts w:ascii="宋体" w:hAnsi="宋体"/>
          <w:color w:val="auto"/>
          <w:sz w:val="24"/>
        </w:rPr>
        <w:t>15</w:t>
      </w:r>
      <w:r>
        <w:rPr>
          <w:rFonts w:hint="eastAsia" w:ascii="宋体" w:hAnsi="宋体"/>
          <w:color w:val="auto"/>
          <w:sz w:val="24"/>
        </w:rPr>
        <w:t>个工作日内向长江大学纪委办公室提起投诉。</w:t>
      </w:r>
    </w:p>
    <w:p>
      <w:pPr>
        <w:spacing w:line="400" w:lineRule="exact"/>
        <w:ind w:firstLine="480" w:firstLineChars="200"/>
        <w:rPr>
          <w:rFonts w:ascii="宋体"/>
          <w:color w:val="auto"/>
          <w:sz w:val="24"/>
        </w:rPr>
      </w:pPr>
      <w:r>
        <w:rPr>
          <w:rFonts w:hint="eastAsia" w:ascii="宋体" w:hAnsi="宋体"/>
          <w:color w:val="auto"/>
          <w:sz w:val="24"/>
        </w:rPr>
        <w:t>九、联系方式：</w:t>
      </w:r>
    </w:p>
    <w:p>
      <w:pPr>
        <w:spacing w:line="440" w:lineRule="exact"/>
        <w:ind w:firstLine="484" w:firstLineChars="202"/>
        <w:rPr>
          <w:rFonts w:ascii="宋体" w:hAnsi="宋体"/>
          <w:color w:val="auto"/>
          <w:sz w:val="24"/>
        </w:rPr>
      </w:pPr>
      <w:r>
        <w:rPr>
          <w:rFonts w:hint="eastAsia" w:ascii="宋体" w:hAnsi="宋体"/>
          <w:color w:val="auto"/>
          <w:sz w:val="24"/>
        </w:rPr>
        <w:t>长江大学农业科技产业园（荆州市太湖港管理区以西一公里）</w:t>
      </w:r>
    </w:p>
    <w:p>
      <w:pPr>
        <w:spacing w:line="400" w:lineRule="exact"/>
        <w:ind w:firstLine="480" w:firstLineChars="200"/>
        <w:rPr>
          <w:rFonts w:ascii="宋体"/>
          <w:color w:val="auto"/>
          <w:sz w:val="24"/>
        </w:rPr>
      </w:pPr>
      <w:r>
        <w:rPr>
          <w:rFonts w:hint="eastAsia" w:ascii="宋体" w:hAnsi="宋体"/>
          <w:color w:val="auto"/>
          <w:sz w:val="24"/>
        </w:rPr>
        <w:t>联系人：张经理</w:t>
      </w:r>
    </w:p>
    <w:p>
      <w:pPr>
        <w:spacing w:line="400" w:lineRule="exact"/>
        <w:ind w:firstLine="480" w:firstLineChars="200"/>
        <w:rPr>
          <w:rFonts w:ascii="宋体" w:hAnsi="宋体"/>
          <w:color w:val="auto"/>
          <w:sz w:val="24"/>
        </w:rPr>
      </w:pPr>
      <w:r>
        <w:rPr>
          <w:rFonts w:hint="eastAsia" w:ascii="宋体" w:hAnsi="宋体"/>
          <w:color w:val="auto"/>
          <w:sz w:val="24"/>
        </w:rPr>
        <w:t>电话：13986692909</w:t>
      </w:r>
    </w:p>
    <w:p>
      <w:pPr>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长江大学采购与招投标管理处</w:t>
      </w:r>
    </w:p>
    <w:p>
      <w:pPr>
        <w:spacing w:line="400" w:lineRule="exact"/>
        <w:ind w:firstLine="480" w:firstLineChars="200"/>
        <w:rPr>
          <w:rFonts w:ascii="宋体"/>
          <w:color w:val="auto"/>
          <w:sz w:val="24"/>
        </w:rPr>
      </w:pPr>
      <w:r>
        <w:rPr>
          <w:rFonts w:ascii="宋体" w:hAnsi="宋体"/>
          <w:color w:val="auto"/>
          <w:sz w:val="24"/>
        </w:rPr>
        <w:t xml:space="preserve">                                     201</w:t>
      </w:r>
      <w:r>
        <w:rPr>
          <w:rFonts w:hint="eastAsia" w:ascii="宋体" w:hAnsi="宋体"/>
          <w:color w:val="auto"/>
          <w:sz w:val="24"/>
        </w:rPr>
        <w:t>8年1月28日</w:t>
      </w:r>
    </w:p>
    <w:p>
      <w:pPr>
        <w:pStyle w:val="2"/>
        <w:spacing w:before="240" w:after="240" w:line="400" w:lineRule="exact"/>
        <w:jc w:val="center"/>
        <w:rPr>
          <w:color w:val="auto"/>
          <w:sz w:val="30"/>
          <w:szCs w:val="30"/>
        </w:rPr>
      </w:pPr>
    </w:p>
    <w:p>
      <w:pPr>
        <w:pStyle w:val="2"/>
        <w:spacing w:before="240" w:after="240" w:line="400" w:lineRule="exact"/>
        <w:jc w:val="center"/>
        <w:rPr>
          <w:color w:val="auto"/>
          <w:sz w:val="30"/>
          <w:szCs w:val="30"/>
        </w:rPr>
      </w:pPr>
      <w:r>
        <w:rPr>
          <w:rFonts w:hint="eastAsia"/>
          <w:color w:val="auto"/>
          <w:sz w:val="30"/>
          <w:szCs w:val="30"/>
        </w:rPr>
        <w:t>第二章</w:t>
      </w:r>
      <w:r>
        <w:rPr>
          <w:color w:val="auto"/>
          <w:sz w:val="30"/>
          <w:szCs w:val="30"/>
        </w:rPr>
        <w:t xml:space="preserve"> </w:t>
      </w:r>
      <w:r>
        <w:rPr>
          <w:rFonts w:hint="eastAsia"/>
          <w:color w:val="auto"/>
          <w:sz w:val="30"/>
          <w:szCs w:val="30"/>
        </w:rPr>
        <w:t>投标人须知</w:t>
      </w:r>
    </w:p>
    <w:p>
      <w:pPr>
        <w:pStyle w:val="3"/>
        <w:spacing w:line="400" w:lineRule="exact"/>
        <w:rPr>
          <w:rFonts w:ascii="宋体" w:eastAsia="宋体"/>
          <w:color w:val="auto"/>
          <w:sz w:val="28"/>
          <w:szCs w:val="24"/>
        </w:rPr>
      </w:pPr>
      <w:bookmarkStart w:id="0" w:name="_Toc307216475"/>
      <w:bookmarkStart w:id="1" w:name="_Toc307216482"/>
      <w:r>
        <w:rPr>
          <w:rFonts w:hint="eastAsia" w:ascii="宋体" w:hAnsi="宋体"/>
          <w:color w:val="auto"/>
          <w:sz w:val="28"/>
          <w:szCs w:val="24"/>
        </w:rPr>
        <w:t>一．招标文件的构成</w:t>
      </w:r>
      <w:bookmarkEnd w:id="0"/>
      <w:r>
        <w:rPr>
          <w:rFonts w:hint="eastAsia" w:ascii="宋体" w:hAnsi="宋体"/>
          <w:color w:val="auto"/>
          <w:sz w:val="28"/>
          <w:szCs w:val="24"/>
        </w:rPr>
        <w:t xml:space="preserve">                           </w:t>
      </w:r>
    </w:p>
    <w:p>
      <w:pPr>
        <w:tabs>
          <w:tab w:val="left" w:pos="7665"/>
        </w:tabs>
        <w:spacing w:line="400" w:lineRule="exact"/>
        <w:ind w:firstLine="480"/>
        <w:rPr>
          <w:rFonts w:ascii="宋体" w:hAnsi="宋体"/>
          <w:color w:val="auto"/>
          <w:sz w:val="24"/>
        </w:rPr>
      </w:pPr>
      <w:r>
        <w:rPr>
          <w:rFonts w:ascii="宋体" w:hAnsi="宋体"/>
          <w:color w:val="auto"/>
          <w:sz w:val="24"/>
        </w:rPr>
        <w:t>1</w:t>
      </w:r>
      <w:r>
        <w:rPr>
          <w:rFonts w:hint="eastAsia" w:ascii="宋体" w:hAnsi="宋体"/>
          <w:color w:val="auto"/>
          <w:sz w:val="24"/>
        </w:rPr>
        <w:t>．本招标文件包括下列文件及所有按投标须知发出的补充文件和答疑会议记录。</w:t>
      </w:r>
    </w:p>
    <w:p>
      <w:pPr>
        <w:tabs>
          <w:tab w:val="left" w:pos="7665"/>
        </w:tabs>
        <w:spacing w:line="400" w:lineRule="exact"/>
        <w:ind w:firstLine="480"/>
        <w:rPr>
          <w:rFonts w:ascii="宋体"/>
          <w:color w:val="auto"/>
          <w:sz w:val="24"/>
        </w:rPr>
      </w:pPr>
      <w:r>
        <w:rPr>
          <w:rFonts w:hint="eastAsia" w:ascii="宋体" w:hAnsi="宋体"/>
          <w:color w:val="auto"/>
          <w:sz w:val="24"/>
        </w:rPr>
        <w:t>第一章</w:t>
      </w:r>
      <w:r>
        <w:rPr>
          <w:rFonts w:ascii="宋体" w:hAnsi="宋体"/>
          <w:color w:val="auto"/>
          <w:sz w:val="24"/>
        </w:rPr>
        <w:t xml:space="preserve"> </w:t>
      </w:r>
      <w:r>
        <w:rPr>
          <w:rFonts w:hint="eastAsia" w:ascii="宋体" w:hAnsi="宋体"/>
          <w:color w:val="auto"/>
          <w:sz w:val="24"/>
        </w:rPr>
        <w:t>投标邀请</w:t>
      </w:r>
    </w:p>
    <w:p>
      <w:pPr>
        <w:tabs>
          <w:tab w:val="left" w:pos="7665"/>
        </w:tabs>
        <w:spacing w:line="400" w:lineRule="exact"/>
        <w:ind w:firstLine="480"/>
        <w:rPr>
          <w:rFonts w:ascii="宋体"/>
          <w:color w:val="auto"/>
          <w:sz w:val="24"/>
        </w:rPr>
      </w:pPr>
      <w:r>
        <w:rPr>
          <w:rFonts w:hint="eastAsia" w:ascii="宋体" w:hAnsi="宋体"/>
          <w:color w:val="auto"/>
          <w:sz w:val="24"/>
        </w:rPr>
        <w:t>第二章</w:t>
      </w:r>
      <w:r>
        <w:rPr>
          <w:rFonts w:ascii="宋体" w:hAnsi="宋体"/>
          <w:color w:val="auto"/>
          <w:sz w:val="24"/>
        </w:rPr>
        <w:t xml:space="preserve"> </w:t>
      </w:r>
      <w:r>
        <w:rPr>
          <w:rFonts w:hint="eastAsia" w:ascii="宋体" w:hAnsi="宋体"/>
          <w:color w:val="auto"/>
          <w:sz w:val="24"/>
        </w:rPr>
        <w:t>投标人须知</w:t>
      </w:r>
    </w:p>
    <w:p>
      <w:pPr>
        <w:tabs>
          <w:tab w:val="left" w:pos="7665"/>
        </w:tabs>
        <w:spacing w:line="400" w:lineRule="exact"/>
        <w:ind w:firstLine="480"/>
        <w:rPr>
          <w:rFonts w:ascii="宋体"/>
          <w:color w:val="auto"/>
          <w:sz w:val="24"/>
        </w:rPr>
      </w:pPr>
      <w:r>
        <w:rPr>
          <w:rFonts w:hint="eastAsia" w:ascii="宋体" w:hAnsi="宋体"/>
          <w:color w:val="auto"/>
          <w:sz w:val="24"/>
        </w:rPr>
        <w:t>第三章</w:t>
      </w:r>
      <w:r>
        <w:rPr>
          <w:rFonts w:ascii="宋体" w:hAnsi="宋体"/>
          <w:color w:val="auto"/>
          <w:sz w:val="24"/>
        </w:rPr>
        <w:t xml:space="preserve"> </w:t>
      </w:r>
      <w:r>
        <w:rPr>
          <w:rFonts w:hint="eastAsia" w:ascii="宋体" w:hAnsi="宋体"/>
          <w:color w:val="auto"/>
          <w:sz w:val="24"/>
        </w:rPr>
        <w:t>投标文件格式</w:t>
      </w:r>
    </w:p>
    <w:p>
      <w:pPr>
        <w:tabs>
          <w:tab w:val="left" w:pos="7665"/>
        </w:tabs>
        <w:spacing w:line="400" w:lineRule="exact"/>
        <w:ind w:firstLine="480"/>
        <w:rPr>
          <w:rFonts w:ascii="宋体"/>
          <w:color w:val="auto"/>
          <w:sz w:val="24"/>
        </w:rPr>
      </w:pPr>
      <w:r>
        <w:rPr>
          <w:rFonts w:hint="eastAsia" w:ascii="宋体" w:hAnsi="宋体"/>
          <w:color w:val="auto"/>
          <w:sz w:val="24"/>
        </w:rPr>
        <w:t>第四章</w:t>
      </w:r>
      <w:r>
        <w:rPr>
          <w:rFonts w:ascii="宋体" w:hAnsi="宋体"/>
          <w:color w:val="auto"/>
          <w:sz w:val="24"/>
        </w:rPr>
        <w:t xml:space="preserve"> </w:t>
      </w:r>
      <w:r>
        <w:rPr>
          <w:rFonts w:hint="eastAsia" w:ascii="宋体" w:hAnsi="宋体"/>
          <w:color w:val="auto"/>
          <w:sz w:val="24"/>
        </w:rPr>
        <w:t>采购内容及技术服务要求</w:t>
      </w:r>
    </w:p>
    <w:p>
      <w:pPr>
        <w:tabs>
          <w:tab w:val="left" w:pos="7665"/>
        </w:tabs>
        <w:spacing w:line="400" w:lineRule="exact"/>
        <w:ind w:firstLine="480"/>
        <w:rPr>
          <w:rFonts w:ascii="宋体"/>
          <w:color w:val="auto"/>
          <w:sz w:val="24"/>
        </w:rPr>
      </w:pPr>
      <w:r>
        <w:rPr>
          <w:rFonts w:hint="eastAsia" w:ascii="宋体" w:hAnsi="宋体"/>
          <w:color w:val="auto"/>
          <w:sz w:val="24"/>
        </w:rPr>
        <w:t>第五章</w:t>
      </w:r>
      <w:r>
        <w:rPr>
          <w:rFonts w:ascii="宋体" w:hAnsi="宋体"/>
          <w:color w:val="auto"/>
          <w:sz w:val="24"/>
        </w:rPr>
        <w:t xml:space="preserve"> </w:t>
      </w:r>
      <w:r>
        <w:rPr>
          <w:rFonts w:hint="eastAsia" w:ascii="宋体" w:hAnsi="宋体"/>
          <w:color w:val="auto"/>
          <w:sz w:val="24"/>
        </w:rPr>
        <w:t>评标细则</w:t>
      </w:r>
    </w:p>
    <w:p>
      <w:pPr>
        <w:tabs>
          <w:tab w:val="left" w:pos="7665"/>
        </w:tabs>
        <w:spacing w:line="400" w:lineRule="exact"/>
        <w:ind w:firstLine="480"/>
        <w:rPr>
          <w:rFonts w:ascii="宋体"/>
          <w:color w:val="auto"/>
          <w:sz w:val="24"/>
        </w:rPr>
      </w:pPr>
      <w:r>
        <w:rPr>
          <w:rFonts w:ascii="宋体" w:hAnsi="宋体"/>
          <w:color w:val="auto"/>
          <w:sz w:val="24"/>
        </w:rPr>
        <w:t>2</w:t>
      </w:r>
      <w:r>
        <w:rPr>
          <w:rFonts w:hint="eastAsia" w:ascii="宋体" w:hAnsi="宋体"/>
          <w:color w:val="auto"/>
          <w:sz w:val="24"/>
        </w:rPr>
        <w:t>．招标文件及补充资料前后有矛盾的，以时间在后的为准。</w:t>
      </w:r>
    </w:p>
    <w:p>
      <w:pPr>
        <w:tabs>
          <w:tab w:val="left" w:pos="7665"/>
        </w:tabs>
        <w:spacing w:line="400" w:lineRule="exact"/>
        <w:ind w:firstLine="480"/>
        <w:rPr>
          <w:rFonts w:ascii="宋体"/>
          <w:color w:val="auto"/>
          <w:sz w:val="24"/>
        </w:rPr>
      </w:pPr>
      <w:r>
        <w:rPr>
          <w:rFonts w:ascii="宋体" w:hAnsi="宋体"/>
          <w:color w:val="auto"/>
          <w:sz w:val="24"/>
        </w:rPr>
        <w:t>3</w:t>
      </w:r>
      <w:r>
        <w:rPr>
          <w:rFonts w:hint="eastAsia" w:ascii="宋体" w:hAnsi="宋体"/>
          <w:color w:val="auto"/>
          <w:sz w:val="24"/>
        </w:rPr>
        <w:t>．投标人应认真阅读招标文件中所有的事项、条款和规范要求等。投标人没有对招标文件全面做出实质性响应是投标人的风险。招标采购单位有权拒绝没有对招标文件要求做出实质性响应的投标。</w:t>
      </w:r>
    </w:p>
    <w:p>
      <w:pPr>
        <w:pStyle w:val="3"/>
        <w:spacing w:line="400" w:lineRule="exact"/>
        <w:rPr>
          <w:rFonts w:ascii="宋体" w:hAnsi="宋体"/>
          <w:color w:val="auto"/>
          <w:sz w:val="28"/>
          <w:szCs w:val="24"/>
        </w:rPr>
      </w:pPr>
      <w:bookmarkStart w:id="2" w:name="_Toc307216476"/>
      <w:r>
        <w:rPr>
          <w:rFonts w:hint="eastAsia" w:ascii="宋体" w:hAnsi="宋体"/>
          <w:color w:val="auto"/>
          <w:sz w:val="28"/>
          <w:szCs w:val="24"/>
        </w:rPr>
        <w:t>二．评标文件的澄清和修改</w:t>
      </w:r>
      <w:bookmarkEnd w:id="2"/>
    </w:p>
    <w:p>
      <w:pPr>
        <w:tabs>
          <w:tab w:val="left" w:pos="720"/>
        </w:tabs>
        <w:spacing w:line="400" w:lineRule="exact"/>
        <w:ind w:firstLine="480" w:firstLineChars="200"/>
        <w:rPr>
          <w:rFonts w:ascii="宋体"/>
          <w:color w:val="auto"/>
          <w:sz w:val="24"/>
        </w:rPr>
      </w:pPr>
      <w:r>
        <w:rPr>
          <w:rFonts w:ascii="宋体" w:hAnsi="宋体"/>
          <w:color w:val="auto"/>
          <w:sz w:val="24"/>
        </w:rPr>
        <w:t>1</w:t>
      </w:r>
      <w:r>
        <w:rPr>
          <w:rFonts w:hint="eastAsia" w:ascii="宋体" w:hAnsi="宋体"/>
          <w:color w:val="auto"/>
          <w:sz w:val="24"/>
        </w:rPr>
        <w:t>．在投标截止时间三日前，招标采购单位无论出于何种原因，都可以对招标文件进行澄清或者修改。</w:t>
      </w:r>
    </w:p>
    <w:p>
      <w:pPr>
        <w:spacing w:line="400" w:lineRule="exact"/>
        <w:ind w:firstLine="480" w:firstLineChars="200"/>
        <w:rPr>
          <w:rFonts w:ascii="宋体"/>
          <w:color w:val="auto"/>
          <w:sz w:val="24"/>
        </w:rPr>
      </w:pPr>
      <w:r>
        <w:rPr>
          <w:rFonts w:ascii="宋体" w:hAnsi="宋体"/>
          <w:color w:val="auto"/>
          <w:sz w:val="24"/>
        </w:rPr>
        <w:t>2</w:t>
      </w:r>
      <w:r>
        <w:rPr>
          <w:rFonts w:hint="eastAsia" w:ascii="宋体" w:hAnsi="宋体"/>
          <w:color w:val="auto"/>
          <w:sz w:val="24"/>
        </w:rPr>
        <w:t>．招标采购单位对已发出的招标文件进行澄清或者修改，将在招标文件要求的提交投标文件截止时间三日前进行，并以书面形式将澄清或者修改的内容通知所有购买了招标文件的投标人，同时在长江大学采购与招投标管理处网上发布更正公告。该澄清或者修改的内容为招标文件的组成部分。</w:t>
      </w:r>
    </w:p>
    <w:p>
      <w:pPr>
        <w:spacing w:line="400" w:lineRule="exact"/>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．投标人要求对招标文件进行澄清的，均应在投标截止日三天前按招标文件中的联系方式，以书面形式通知招标人。</w:t>
      </w:r>
    </w:p>
    <w:p>
      <w:pPr>
        <w:spacing w:line="400" w:lineRule="exact"/>
        <w:ind w:firstLine="480" w:firstLineChars="200"/>
        <w:rPr>
          <w:rFonts w:ascii="宋体"/>
          <w:color w:val="auto"/>
          <w:sz w:val="24"/>
        </w:rPr>
      </w:pPr>
      <w:r>
        <w:rPr>
          <w:rFonts w:ascii="宋体" w:hAnsi="宋体"/>
          <w:color w:val="auto"/>
          <w:sz w:val="24"/>
        </w:rPr>
        <w:t>4</w:t>
      </w:r>
      <w:r>
        <w:rPr>
          <w:rFonts w:hint="eastAsia" w:ascii="宋体" w:hAnsi="宋体"/>
          <w:color w:val="auto"/>
          <w:sz w:val="24"/>
        </w:rPr>
        <w:t>．在投标截止时间前，招标采购单位可以视采购具体情况，延长投标截止时间和开标时间，并在招标文件要求提交投标文件的截止时间三日前，将变更时间以书面形式通知所有购买了招标文件的投标人，同时在长江大学采购与招投标管理处网上发布变更公告。</w:t>
      </w:r>
    </w:p>
    <w:p>
      <w:pPr>
        <w:pStyle w:val="3"/>
        <w:spacing w:line="400" w:lineRule="exact"/>
        <w:rPr>
          <w:rFonts w:ascii="宋体" w:hAnsi="宋体"/>
          <w:color w:val="auto"/>
          <w:sz w:val="28"/>
          <w:szCs w:val="24"/>
        </w:rPr>
      </w:pPr>
      <w:r>
        <w:rPr>
          <w:rFonts w:hint="eastAsia" w:ascii="宋体" w:hAnsi="宋体"/>
          <w:color w:val="auto"/>
          <w:sz w:val="28"/>
          <w:szCs w:val="24"/>
        </w:rPr>
        <w:t>三．投标文件的组成</w:t>
      </w:r>
      <w:bookmarkEnd w:id="1"/>
    </w:p>
    <w:p>
      <w:pPr>
        <w:spacing w:line="400" w:lineRule="exact"/>
        <w:ind w:firstLine="470" w:firstLineChars="196"/>
        <w:rPr>
          <w:rFonts w:ascii="宋体"/>
          <w:color w:val="auto"/>
          <w:sz w:val="24"/>
        </w:rPr>
      </w:pPr>
      <w:r>
        <w:rPr>
          <w:rFonts w:hint="eastAsia" w:ascii="宋体" w:hAnsi="宋体"/>
          <w:color w:val="auto"/>
          <w:sz w:val="24"/>
        </w:rPr>
        <w:t>投标人应按照招标文件的规定和要求编制投标文件。投标人编写的投标文件应包括下列部分：</w:t>
      </w:r>
    </w:p>
    <w:p>
      <w:pPr>
        <w:spacing w:line="400" w:lineRule="exact"/>
        <w:ind w:firstLine="472" w:firstLineChars="196"/>
        <w:rPr>
          <w:rFonts w:ascii="宋体"/>
          <w:b/>
          <w:color w:val="auto"/>
          <w:sz w:val="24"/>
        </w:rPr>
      </w:pPr>
      <w:r>
        <w:rPr>
          <w:rFonts w:ascii="宋体" w:hAnsi="宋体"/>
          <w:b/>
          <w:color w:val="auto"/>
          <w:sz w:val="24"/>
        </w:rPr>
        <w:t>1</w:t>
      </w:r>
      <w:r>
        <w:rPr>
          <w:rFonts w:hint="eastAsia" w:ascii="宋体" w:hAnsi="宋体"/>
          <w:b/>
          <w:color w:val="auto"/>
          <w:sz w:val="24"/>
        </w:rPr>
        <w:t>．报价部分</w:t>
      </w:r>
    </w:p>
    <w:p>
      <w:pPr>
        <w:spacing w:line="400" w:lineRule="exact"/>
        <w:ind w:firstLine="480" w:firstLineChars="200"/>
        <w:rPr>
          <w:rFonts w:ascii="宋体"/>
          <w:color w:val="auto"/>
          <w:sz w:val="24"/>
        </w:rPr>
      </w:pPr>
      <w:r>
        <w:rPr>
          <w:rFonts w:hint="eastAsia" w:ascii="宋体" w:hAnsi="宋体"/>
          <w:color w:val="auto"/>
          <w:sz w:val="24"/>
        </w:rPr>
        <w:t>投标人的报价是投标人响应招标项目要求的全部工作内容的价格体现。</w:t>
      </w:r>
    </w:p>
    <w:p>
      <w:pPr>
        <w:spacing w:line="400" w:lineRule="exact"/>
        <w:ind w:firstLine="482" w:firstLineChars="200"/>
        <w:rPr>
          <w:rFonts w:ascii="宋体"/>
          <w:b/>
          <w:bCs/>
          <w:color w:val="auto"/>
          <w:sz w:val="24"/>
        </w:rPr>
      </w:pPr>
      <w:r>
        <w:rPr>
          <w:rFonts w:ascii="宋体" w:hAnsi="宋体"/>
          <w:b/>
          <w:bCs/>
          <w:color w:val="auto"/>
          <w:sz w:val="24"/>
        </w:rPr>
        <w:t>2</w:t>
      </w:r>
      <w:r>
        <w:rPr>
          <w:rFonts w:hint="eastAsia" w:ascii="宋体" w:hAnsi="宋体"/>
          <w:b/>
          <w:bCs/>
          <w:color w:val="auto"/>
          <w:sz w:val="24"/>
        </w:rPr>
        <w:t>．商务部分</w:t>
      </w:r>
    </w:p>
    <w:p>
      <w:pPr>
        <w:spacing w:line="400" w:lineRule="exact"/>
        <w:ind w:firstLine="480" w:firstLineChars="200"/>
        <w:rPr>
          <w:rFonts w:ascii="宋体"/>
          <w:color w:val="auto"/>
          <w:sz w:val="24"/>
        </w:rPr>
      </w:pPr>
      <w:r>
        <w:rPr>
          <w:rFonts w:hint="eastAsia" w:ascii="宋体" w:hAnsi="宋体"/>
          <w:color w:val="auto"/>
          <w:sz w:val="24"/>
        </w:rPr>
        <w:t>投标人应按照招标文件要求提供有关资质证明文件和相关证明材料。包括以下内容：</w:t>
      </w:r>
    </w:p>
    <w:p>
      <w:pPr>
        <w:spacing w:line="4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）投标函；</w:t>
      </w:r>
    </w:p>
    <w:p>
      <w:pPr>
        <w:spacing w:line="4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）投标人企业法人营业执照副本、税务登记证副本复印件、组织机构代码证副本复印件、企业组织机构人员构成框架图、针对本项目的组织机构构成框架图；</w:t>
      </w:r>
    </w:p>
    <w:p>
      <w:pPr>
        <w:spacing w:line="4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）法定代表人授权书原件；</w:t>
      </w:r>
    </w:p>
    <w:p>
      <w:pPr>
        <w:spacing w:line="4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）法定代表人和授权代表身份证复印件；</w:t>
      </w:r>
    </w:p>
    <w:p>
      <w:pPr>
        <w:spacing w:line="4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）企业能力证明材料，如资质证书、项目经理证、安全生产许可证、设备等；</w:t>
      </w:r>
    </w:p>
    <w:p>
      <w:pPr>
        <w:spacing w:line="400" w:lineRule="exact"/>
        <w:ind w:firstLine="480" w:firstLineChars="200"/>
        <w:rPr>
          <w:rFonts w:ascii="宋体"/>
          <w:color w:val="auto"/>
          <w:sz w:val="24"/>
        </w:rPr>
      </w:pPr>
      <w:r>
        <w:rPr>
          <w:rFonts w:hint="eastAsia" w:ascii="宋体" w:hAnsi="宋体"/>
          <w:color w:val="auto"/>
          <w:sz w:val="24"/>
        </w:rPr>
        <w:t>（6）投标人应提供通过审计的</w:t>
      </w:r>
      <w:r>
        <w:rPr>
          <w:rFonts w:ascii="宋体" w:hAnsi="宋体"/>
          <w:color w:val="auto"/>
          <w:sz w:val="24"/>
        </w:rPr>
        <w:t>201</w:t>
      </w:r>
      <w:r>
        <w:rPr>
          <w:rFonts w:hint="eastAsia" w:ascii="宋体" w:hAnsi="宋体"/>
          <w:color w:val="auto"/>
          <w:sz w:val="24"/>
        </w:rPr>
        <w:t>5年至</w:t>
      </w:r>
      <w:r>
        <w:rPr>
          <w:rFonts w:ascii="宋体" w:hAnsi="宋体"/>
          <w:color w:val="auto"/>
          <w:sz w:val="24"/>
        </w:rPr>
        <w:t>201</w:t>
      </w:r>
      <w:r>
        <w:rPr>
          <w:rFonts w:hint="eastAsia" w:ascii="宋体" w:hAnsi="宋体"/>
          <w:color w:val="auto"/>
          <w:sz w:val="24"/>
        </w:rPr>
        <w:t>7年的财务报表、且盈利，证明投标人的类似项目业绩和荣誉的有关材料；</w:t>
      </w:r>
    </w:p>
    <w:p>
      <w:pPr>
        <w:spacing w:line="400" w:lineRule="exact"/>
        <w:ind w:firstLine="480" w:firstLineChars="200"/>
        <w:rPr>
          <w:rFonts w:ascii="宋体"/>
          <w:color w:val="auto"/>
          <w:sz w:val="24"/>
        </w:rPr>
      </w:pPr>
      <w:r>
        <w:rPr>
          <w:rFonts w:hint="eastAsia" w:ascii="宋体" w:hAnsi="宋体"/>
          <w:color w:val="auto"/>
          <w:sz w:val="24"/>
        </w:rPr>
        <w:t>（7）商务偏离表；</w:t>
      </w:r>
    </w:p>
    <w:p>
      <w:pPr>
        <w:spacing w:line="400" w:lineRule="exact"/>
        <w:ind w:firstLine="480" w:firstLineChars="200"/>
        <w:rPr>
          <w:rFonts w:ascii="宋体"/>
          <w:color w:val="auto"/>
          <w:sz w:val="24"/>
        </w:rPr>
      </w:pPr>
      <w:r>
        <w:rPr>
          <w:rFonts w:hint="eastAsia" w:ascii="宋体" w:hAnsi="宋体"/>
          <w:color w:val="auto"/>
          <w:sz w:val="24"/>
        </w:rPr>
        <w:t>（8）投标人认为需要提供的其他文件和资料。</w:t>
      </w:r>
    </w:p>
    <w:p>
      <w:pPr>
        <w:tabs>
          <w:tab w:val="left" w:pos="540"/>
        </w:tabs>
        <w:spacing w:line="400" w:lineRule="exact"/>
        <w:ind w:firstLine="472" w:firstLineChars="196"/>
        <w:rPr>
          <w:rFonts w:ascii="宋体"/>
          <w:b/>
          <w:bCs/>
          <w:color w:val="auto"/>
          <w:sz w:val="24"/>
        </w:rPr>
      </w:pPr>
      <w:r>
        <w:rPr>
          <w:rFonts w:ascii="宋体" w:hAnsi="宋体"/>
          <w:b/>
          <w:bCs/>
          <w:color w:val="auto"/>
          <w:sz w:val="24"/>
        </w:rPr>
        <w:t>3</w:t>
      </w:r>
      <w:r>
        <w:rPr>
          <w:rFonts w:hint="eastAsia" w:ascii="宋体" w:hAnsi="宋体"/>
          <w:b/>
          <w:bCs/>
          <w:color w:val="auto"/>
          <w:sz w:val="24"/>
        </w:rPr>
        <w:t>．服务响应部分</w:t>
      </w:r>
    </w:p>
    <w:p>
      <w:pPr>
        <w:tabs>
          <w:tab w:val="left" w:pos="540"/>
        </w:tabs>
        <w:spacing w:line="400" w:lineRule="exact"/>
        <w:ind w:firstLine="470" w:firstLineChars="196"/>
        <w:rPr>
          <w:rFonts w:ascii="宋体"/>
          <w:color w:val="auto"/>
          <w:sz w:val="24"/>
        </w:rPr>
      </w:pPr>
      <w:r>
        <w:rPr>
          <w:rFonts w:hint="eastAsia" w:ascii="宋体" w:hAnsi="宋体"/>
          <w:color w:val="auto"/>
          <w:sz w:val="24"/>
        </w:rPr>
        <w:t>投标人按照招标文件要求做出应答，主要是针对招标项目的要求做出实质性响应和满足。投标人的服务应答应尽量包括下列内容：</w:t>
      </w:r>
    </w:p>
    <w:p>
      <w:pPr>
        <w:tabs>
          <w:tab w:val="left" w:pos="540"/>
        </w:tabs>
        <w:spacing w:line="400" w:lineRule="exact"/>
        <w:ind w:firstLine="470" w:firstLineChars="196"/>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）投标人单位简介、投标人资质文件、基本情况和成功案例等。</w:t>
      </w:r>
    </w:p>
    <w:p>
      <w:pPr>
        <w:tabs>
          <w:tab w:val="left" w:pos="540"/>
        </w:tabs>
        <w:spacing w:line="400" w:lineRule="exact"/>
        <w:ind w:firstLine="470" w:firstLineChars="196"/>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）规划实施说明：本项目实施方案。特别针对质量和工期具体列表阐述。</w:t>
      </w:r>
    </w:p>
    <w:p>
      <w:pPr>
        <w:tabs>
          <w:tab w:val="left" w:pos="540"/>
        </w:tabs>
        <w:spacing w:line="400" w:lineRule="exact"/>
        <w:ind w:firstLine="470" w:firstLineChars="196"/>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）其他优势说明：本项目可为学校提供的其它优势说明（投标方除招标文件要求外的其它方面优势阐述）。</w:t>
      </w:r>
    </w:p>
    <w:p>
      <w:pPr>
        <w:pStyle w:val="3"/>
        <w:spacing w:line="400" w:lineRule="exact"/>
        <w:rPr>
          <w:rFonts w:ascii="宋体" w:hAnsi="宋体"/>
          <w:color w:val="auto"/>
          <w:sz w:val="28"/>
          <w:szCs w:val="24"/>
        </w:rPr>
      </w:pPr>
      <w:bookmarkStart w:id="3" w:name="_Toc307216483"/>
      <w:r>
        <w:rPr>
          <w:rFonts w:hint="eastAsia" w:ascii="宋体" w:hAnsi="宋体"/>
          <w:color w:val="auto"/>
          <w:sz w:val="28"/>
          <w:szCs w:val="24"/>
        </w:rPr>
        <w:t>四．投标文件格式</w:t>
      </w:r>
      <w:bookmarkEnd w:id="3"/>
    </w:p>
    <w:p>
      <w:pPr>
        <w:tabs>
          <w:tab w:val="left" w:pos="7665"/>
        </w:tabs>
        <w:spacing w:line="400" w:lineRule="exact"/>
        <w:ind w:firstLine="480" w:firstLineChars="200"/>
        <w:rPr>
          <w:rFonts w:ascii="宋体"/>
          <w:color w:val="auto"/>
          <w:sz w:val="24"/>
        </w:rPr>
      </w:pPr>
      <w:r>
        <w:rPr>
          <w:rFonts w:ascii="宋体" w:hAnsi="宋体"/>
          <w:color w:val="auto"/>
          <w:sz w:val="24"/>
        </w:rPr>
        <w:t>1</w:t>
      </w:r>
      <w:r>
        <w:rPr>
          <w:rFonts w:hint="eastAsia" w:ascii="宋体" w:hAnsi="宋体"/>
          <w:color w:val="auto"/>
          <w:sz w:val="24"/>
        </w:rPr>
        <w:t>．投标人应严格按照招标文件第三章中提供的“投标文件格式”填写相关内容。（顺序可自行调整，格式文件中的签字和盖章必须严格响应）</w:t>
      </w:r>
    </w:p>
    <w:p>
      <w:pPr>
        <w:spacing w:line="400" w:lineRule="exact"/>
        <w:ind w:firstLine="480" w:firstLineChars="200"/>
        <w:rPr>
          <w:rFonts w:ascii="宋体"/>
          <w:color w:val="auto"/>
          <w:sz w:val="24"/>
        </w:rPr>
      </w:pPr>
      <w:r>
        <w:rPr>
          <w:rFonts w:ascii="宋体" w:hAnsi="宋体"/>
          <w:color w:val="auto"/>
          <w:sz w:val="24"/>
        </w:rPr>
        <w:t>2</w:t>
      </w:r>
      <w:r>
        <w:rPr>
          <w:rFonts w:hint="eastAsia" w:ascii="宋体" w:hAnsi="宋体"/>
          <w:color w:val="auto"/>
          <w:sz w:val="24"/>
        </w:rPr>
        <w:t>．对于没有格式要求的部分由投标人自行编写。</w:t>
      </w:r>
    </w:p>
    <w:p>
      <w:pPr>
        <w:pStyle w:val="3"/>
        <w:spacing w:line="400" w:lineRule="exact"/>
        <w:rPr>
          <w:rFonts w:ascii="宋体" w:hAnsi="宋体"/>
          <w:color w:val="auto"/>
          <w:sz w:val="28"/>
          <w:szCs w:val="24"/>
        </w:rPr>
      </w:pPr>
      <w:r>
        <w:rPr>
          <w:rFonts w:hint="eastAsia" w:ascii="宋体" w:hAnsi="宋体"/>
          <w:color w:val="auto"/>
          <w:sz w:val="28"/>
          <w:szCs w:val="24"/>
        </w:rPr>
        <w:t>五．履约保证金</w:t>
      </w:r>
    </w:p>
    <w:p>
      <w:pPr>
        <w:spacing w:line="460" w:lineRule="exact"/>
        <w:ind w:right="26" w:firstLine="480"/>
        <w:rPr>
          <w:rFonts w:ascii="宋体"/>
          <w:bCs/>
          <w:color w:val="auto"/>
          <w:sz w:val="24"/>
        </w:rPr>
      </w:pPr>
      <w:r>
        <w:rPr>
          <w:rFonts w:hint="eastAsia" w:ascii="宋体" w:hAnsi="宋体"/>
          <w:bCs/>
          <w:color w:val="auto"/>
          <w:sz w:val="24"/>
        </w:rPr>
        <w:t>本项目投标人中标后，需缴纳壹万元履约保证金，用于保护建设单位免受因投标人行为而蒙受的损失。履约保证金可采取银行转帐或电汇的方式。未按要求在规定时间前交纳规定数额履约保证金的中标人将被取消中标资格。</w:t>
      </w:r>
    </w:p>
    <w:p>
      <w:pPr>
        <w:spacing w:line="460" w:lineRule="exact"/>
        <w:ind w:right="26" w:firstLine="480"/>
        <w:rPr>
          <w:rFonts w:ascii="宋体"/>
          <w:bCs/>
          <w:color w:val="auto"/>
          <w:sz w:val="24"/>
        </w:rPr>
      </w:pPr>
      <w:r>
        <w:rPr>
          <w:rFonts w:hint="eastAsia" w:ascii="宋体" w:hAnsi="宋体"/>
          <w:bCs/>
          <w:color w:val="auto"/>
          <w:sz w:val="24"/>
        </w:rPr>
        <w:t>下列任何情况发生时，采购人将不予退还其交纳的履约质量保证金：</w:t>
      </w:r>
    </w:p>
    <w:p>
      <w:pPr>
        <w:spacing w:line="4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）如果中标人在投标有效期内（</w:t>
      </w:r>
      <w:r>
        <w:rPr>
          <w:rFonts w:ascii="宋体" w:hAnsi="宋体"/>
          <w:color w:val="auto"/>
          <w:sz w:val="24"/>
        </w:rPr>
        <w:t>90</w:t>
      </w:r>
      <w:r>
        <w:rPr>
          <w:rFonts w:hint="eastAsia" w:ascii="宋体" w:hAnsi="宋体"/>
          <w:color w:val="auto"/>
          <w:sz w:val="24"/>
        </w:rPr>
        <w:t>天）撤回投标；</w:t>
      </w:r>
    </w:p>
    <w:p>
      <w:pPr>
        <w:spacing w:line="4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）中标人提供的投标文件虚假响应招标文件；</w:t>
      </w:r>
    </w:p>
    <w:p>
      <w:pPr>
        <w:spacing w:line="4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）中标人在投标有效期内收到中标通知书后，由于中标方非因不可抗力原因未能按照招标文件要求与甲方签订并履行合同；</w:t>
      </w:r>
    </w:p>
    <w:p>
      <w:pPr>
        <w:spacing w:line="4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）中标人在投标有效期内收到中标通知书后，自愿放弃中标的。</w:t>
      </w:r>
    </w:p>
    <w:p>
      <w:pPr>
        <w:spacing w:line="4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）在合作期内，项目建设未满足合同要求的。</w:t>
      </w:r>
    </w:p>
    <w:p>
      <w:pPr>
        <w:spacing w:line="400" w:lineRule="exact"/>
        <w:ind w:firstLine="468" w:firstLineChars="195"/>
        <w:rPr>
          <w:rFonts w:asci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）未履行招标文件和合同中规定的建设运营承诺、售后服务承诺或其他承诺的。</w:t>
      </w:r>
    </w:p>
    <w:p>
      <w:pPr>
        <w:spacing w:line="400" w:lineRule="exact"/>
        <w:ind w:firstLine="468" w:firstLineChars="195"/>
        <w:rPr>
          <w:rFonts w:asci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）在合同期内，中标人有违约行为的。</w:t>
      </w:r>
    </w:p>
    <w:p>
      <w:pPr>
        <w:pStyle w:val="3"/>
        <w:spacing w:line="400" w:lineRule="exact"/>
        <w:rPr>
          <w:rFonts w:ascii="宋体" w:hAnsi="宋体"/>
          <w:color w:val="auto"/>
          <w:sz w:val="28"/>
          <w:szCs w:val="24"/>
        </w:rPr>
      </w:pPr>
      <w:bookmarkStart w:id="4" w:name="_Toc307216486"/>
      <w:r>
        <w:rPr>
          <w:rFonts w:hint="eastAsia" w:ascii="宋体" w:hAnsi="宋体"/>
          <w:color w:val="auto"/>
          <w:sz w:val="28"/>
          <w:szCs w:val="24"/>
        </w:rPr>
        <w:t>六．投标文件的编制</w:t>
      </w:r>
      <w:bookmarkEnd w:id="4"/>
    </w:p>
    <w:p>
      <w:pPr>
        <w:tabs>
          <w:tab w:val="left" w:pos="1080"/>
        </w:tabs>
        <w:spacing w:line="400" w:lineRule="exact"/>
        <w:ind w:firstLine="460" w:firstLineChars="192"/>
        <w:rPr>
          <w:rFonts w:ascii="宋体"/>
          <w:color w:val="auto"/>
          <w:sz w:val="24"/>
        </w:rPr>
      </w:pPr>
      <w:r>
        <w:rPr>
          <w:rFonts w:ascii="宋体" w:hAnsi="宋体"/>
          <w:color w:val="auto"/>
          <w:sz w:val="24"/>
        </w:rPr>
        <w:t>1</w:t>
      </w:r>
      <w:r>
        <w:rPr>
          <w:rFonts w:hint="eastAsia" w:ascii="宋体" w:hAnsi="宋体"/>
          <w:color w:val="auto"/>
          <w:sz w:val="24"/>
        </w:rPr>
        <w:t>．</w:t>
      </w:r>
      <w:r>
        <w:rPr>
          <w:rFonts w:hint="eastAsia" w:ascii="宋体" w:hAnsi="宋体"/>
          <w:b/>
          <w:color w:val="auto"/>
          <w:sz w:val="24"/>
        </w:rPr>
        <w:t>投标人应按招标文件要求分别准备投标文件正本一套、副本三套。投标人必须注明</w:t>
      </w:r>
      <w:r>
        <w:rPr>
          <w:rFonts w:hint="eastAsia" w:ascii="宋体" w:hAnsi="宋体"/>
          <w:b/>
          <w:color w:val="auto"/>
          <w:sz w:val="24"/>
          <w:u w:val="single"/>
        </w:rPr>
        <w:t>***项目</w:t>
      </w:r>
      <w:r>
        <w:rPr>
          <w:rFonts w:hint="eastAsia" w:ascii="宋体" w:hAnsi="宋体"/>
          <w:b/>
          <w:color w:val="auto"/>
          <w:sz w:val="24"/>
        </w:rPr>
        <w:t>投标书。</w:t>
      </w:r>
      <w:r>
        <w:rPr>
          <w:rFonts w:hint="eastAsia" w:ascii="宋体" w:hAnsi="宋体"/>
          <w:color w:val="auto"/>
          <w:sz w:val="24"/>
        </w:rPr>
        <w:t>投标文件的正本和副本应在其封面右上角清楚地标明“正本”或“副本”字样。若正本和副本有不一致的内容，以正本书面投标文件为准。</w:t>
      </w:r>
    </w:p>
    <w:p>
      <w:pPr>
        <w:tabs>
          <w:tab w:val="left" w:pos="1095"/>
        </w:tabs>
        <w:spacing w:line="400" w:lineRule="exact"/>
        <w:ind w:firstLine="460" w:firstLineChars="192"/>
        <w:rPr>
          <w:rFonts w:ascii="宋体"/>
          <w:color w:val="auto"/>
          <w:sz w:val="24"/>
        </w:rPr>
      </w:pPr>
      <w:r>
        <w:rPr>
          <w:rFonts w:ascii="宋体" w:hAnsi="宋体"/>
          <w:color w:val="auto"/>
          <w:sz w:val="24"/>
        </w:rPr>
        <w:t>2</w:t>
      </w:r>
      <w:r>
        <w:rPr>
          <w:rFonts w:hint="eastAsia" w:ascii="宋体" w:hAnsi="宋体"/>
          <w:color w:val="auto"/>
          <w:sz w:val="24"/>
        </w:rPr>
        <w:t>．投标文件正本应使用不退色、不变质的墨水打印或书写，并由投标人的</w:t>
      </w:r>
      <w:r>
        <w:rPr>
          <w:rFonts w:hint="eastAsia" w:ascii="宋体" w:hAnsi="宋体"/>
          <w:b/>
          <w:color w:val="auto"/>
          <w:sz w:val="24"/>
        </w:rPr>
        <w:t>法定代表人或其授权代表在规定签章处签字和盖章</w:t>
      </w:r>
      <w:r>
        <w:rPr>
          <w:rFonts w:hint="eastAsia" w:ascii="宋体" w:hAnsi="宋体"/>
          <w:color w:val="auto"/>
          <w:sz w:val="24"/>
        </w:rPr>
        <w:t>（</w:t>
      </w:r>
      <w:r>
        <w:rPr>
          <w:rFonts w:hint="eastAsia" w:ascii="宋体" w:hAnsi="宋体"/>
          <w:b/>
          <w:color w:val="auto"/>
          <w:sz w:val="24"/>
        </w:rPr>
        <w:t>本招标文件要求加盖的“公章”为“投标人公章”，而不能使用如“投标专用章”等其他业务专用印章</w:t>
      </w:r>
      <w:r>
        <w:rPr>
          <w:rFonts w:hint="eastAsia" w:ascii="宋体" w:hAnsi="宋体"/>
          <w:color w:val="auto"/>
          <w:sz w:val="24"/>
        </w:rPr>
        <w:t>）。投标文件副本可采用正本的复印件。</w:t>
      </w:r>
    </w:p>
    <w:p>
      <w:pPr>
        <w:tabs>
          <w:tab w:val="left" w:pos="1095"/>
        </w:tabs>
        <w:spacing w:line="400" w:lineRule="exact"/>
        <w:ind w:firstLine="460" w:firstLineChars="192"/>
        <w:rPr>
          <w:rFonts w:ascii="宋体"/>
          <w:color w:val="auto"/>
          <w:sz w:val="24"/>
        </w:rPr>
      </w:pPr>
      <w:r>
        <w:rPr>
          <w:rFonts w:ascii="宋体" w:hAnsi="宋体"/>
          <w:color w:val="auto"/>
          <w:sz w:val="24"/>
        </w:rPr>
        <w:t>3</w:t>
      </w:r>
      <w:r>
        <w:rPr>
          <w:rFonts w:hint="eastAsia" w:ascii="宋体" w:hAnsi="宋体"/>
          <w:color w:val="auto"/>
          <w:sz w:val="24"/>
        </w:rPr>
        <w:t>．投标文件的打印和书写应清楚工整，任何行间插字、涂改或增删，必须由投标人的法定代表人或其授权代表签字或盖个人印鉴。字迹潦草、表达不清或可能导致非唯一理解的投标文件可能视为无效投标。</w:t>
      </w:r>
    </w:p>
    <w:p>
      <w:pPr>
        <w:tabs>
          <w:tab w:val="left" w:pos="1080"/>
        </w:tabs>
        <w:spacing w:line="400" w:lineRule="exact"/>
        <w:ind w:firstLine="460" w:firstLineChars="192"/>
        <w:rPr>
          <w:rFonts w:ascii="宋体"/>
          <w:b/>
          <w:color w:val="auto"/>
          <w:sz w:val="24"/>
        </w:rPr>
      </w:pPr>
      <w:r>
        <w:rPr>
          <w:rFonts w:ascii="宋体" w:hAnsi="宋体"/>
          <w:color w:val="auto"/>
          <w:sz w:val="24"/>
        </w:rPr>
        <w:t>4</w:t>
      </w:r>
      <w:r>
        <w:rPr>
          <w:rFonts w:hint="eastAsia" w:ascii="宋体" w:hAnsi="宋体"/>
          <w:color w:val="auto"/>
          <w:sz w:val="24"/>
        </w:rPr>
        <w:t>．</w:t>
      </w:r>
      <w:r>
        <w:rPr>
          <w:rFonts w:hint="eastAsia" w:ascii="宋体" w:hAnsi="宋体"/>
          <w:b/>
          <w:color w:val="auto"/>
          <w:sz w:val="24"/>
        </w:rPr>
        <w:t>投标文件正本和副本必须装订成册并逐页编目编码，不得有活页。</w:t>
      </w:r>
    </w:p>
    <w:p>
      <w:pPr>
        <w:tabs>
          <w:tab w:val="left" w:pos="1080"/>
        </w:tabs>
        <w:spacing w:line="400" w:lineRule="exact"/>
        <w:ind w:firstLine="460" w:firstLineChars="192"/>
        <w:rPr>
          <w:rFonts w:ascii="宋体"/>
          <w:color w:val="auto"/>
          <w:sz w:val="24"/>
        </w:rPr>
      </w:pPr>
      <w:r>
        <w:rPr>
          <w:rFonts w:ascii="宋体" w:hAnsi="宋体"/>
          <w:color w:val="auto"/>
          <w:sz w:val="24"/>
        </w:rPr>
        <w:t>5</w:t>
      </w:r>
      <w:r>
        <w:rPr>
          <w:rFonts w:hint="eastAsia" w:ascii="宋体" w:hAnsi="宋体"/>
          <w:color w:val="auto"/>
          <w:sz w:val="24"/>
        </w:rPr>
        <w:t>．投标文件应根据招标文件的要求制作，签署、盖章和内容应完整，如有遗漏，将被视为无效投标。</w:t>
      </w:r>
    </w:p>
    <w:p>
      <w:pPr>
        <w:spacing w:line="400" w:lineRule="exact"/>
        <w:ind w:firstLine="480"/>
        <w:rPr>
          <w:rFonts w:ascii="宋体"/>
          <w:color w:val="auto"/>
          <w:sz w:val="24"/>
        </w:rPr>
      </w:pPr>
      <w:r>
        <w:rPr>
          <w:rFonts w:ascii="宋体" w:hAnsi="宋体"/>
          <w:color w:val="auto"/>
          <w:sz w:val="24"/>
        </w:rPr>
        <w:t>6</w:t>
      </w:r>
      <w:r>
        <w:rPr>
          <w:rFonts w:hint="eastAsia" w:ascii="宋体" w:hAnsi="宋体"/>
          <w:color w:val="auto"/>
          <w:sz w:val="24"/>
        </w:rPr>
        <w:t>．投标文件统一用</w:t>
      </w:r>
      <w:r>
        <w:rPr>
          <w:rFonts w:ascii="宋体" w:hAnsi="宋体"/>
          <w:color w:val="auto"/>
          <w:sz w:val="24"/>
        </w:rPr>
        <w:t>A4</w:t>
      </w:r>
      <w:r>
        <w:rPr>
          <w:rFonts w:hint="eastAsia" w:ascii="宋体" w:hAnsi="宋体"/>
          <w:color w:val="auto"/>
          <w:sz w:val="24"/>
        </w:rPr>
        <w:t>幅面纸印制。</w:t>
      </w:r>
    </w:p>
    <w:p>
      <w:pPr>
        <w:pStyle w:val="3"/>
        <w:spacing w:line="400" w:lineRule="exact"/>
        <w:rPr>
          <w:rFonts w:ascii="宋体" w:hAnsi="宋体"/>
          <w:color w:val="auto"/>
          <w:sz w:val="28"/>
          <w:szCs w:val="24"/>
        </w:rPr>
      </w:pPr>
      <w:bookmarkStart w:id="5" w:name="_Toc307216487"/>
      <w:r>
        <w:rPr>
          <w:rFonts w:hint="eastAsia" w:ascii="宋体" w:hAnsi="宋体"/>
          <w:color w:val="auto"/>
          <w:sz w:val="28"/>
          <w:szCs w:val="24"/>
        </w:rPr>
        <w:t>七．投标</w:t>
      </w:r>
      <w:bookmarkEnd w:id="5"/>
    </w:p>
    <w:p>
      <w:pPr>
        <w:spacing w:line="460" w:lineRule="exact"/>
        <w:ind w:right="26"/>
        <w:rPr>
          <w:rFonts w:ascii="宋体" w:hAnsi="宋体"/>
          <w:color w:val="auto"/>
          <w:sz w:val="24"/>
        </w:rPr>
      </w:pPr>
      <w:bookmarkStart w:id="6" w:name="_Toc307216488"/>
      <w:r>
        <w:rPr>
          <w:rFonts w:ascii="宋体" w:hAnsi="宋体"/>
          <w:color w:val="auto"/>
          <w:sz w:val="24"/>
        </w:rPr>
        <w:t>1</w:t>
      </w:r>
      <w:r>
        <w:rPr>
          <w:rFonts w:hint="eastAsia" w:ascii="宋体" w:hAnsi="宋体"/>
          <w:color w:val="auto"/>
          <w:sz w:val="24"/>
        </w:rPr>
        <w:t>．投标文件的密封和标记</w:t>
      </w:r>
      <w:bookmarkEnd w:id="6"/>
    </w:p>
    <w:p>
      <w:pPr>
        <w:spacing w:line="400" w:lineRule="exact"/>
        <w:ind w:left="315" w:leftChars="150" w:firstLine="240" w:firstLineChars="100"/>
        <w:rPr>
          <w:rFonts w:ascii="宋体" w:hAnsi="宋体"/>
          <w:bCs/>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w:t>
      </w:r>
      <w:r>
        <w:rPr>
          <w:rFonts w:hint="eastAsia" w:ascii="宋体" w:hAnsi="宋体"/>
          <w:b/>
          <w:color w:val="auto"/>
          <w:sz w:val="24"/>
        </w:rPr>
        <w:t>投标文件“正本”、“副本”可以单独封装，也可以密封于一件包装内</w:t>
      </w:r>
      <w:r>
        <w:rPr>
          <w:rFonts w:hint="eastAsia" w:ascii="宋体" w:hAnsi="宋体"/>
          <w:color w:val="auto"/>
          <w:sz w:val="24"/>
        </w:rPr>
        <w:t>。每件密封包装的最外层应标明招标编号、项目名称、包件号、投标人名称以及“于</w:t>
      </w:r>
      <w:r>
        <w:rPr>
          <w:rFonts w:ascii="宋体" w:hAnsi="宋体"/>
          <w:color w:val="auto"/>
          <w:sz w:val="24"/>
        </w:rPr>
        <w:t>201</w:t>
      </w:r>
      <w:r>
        <w:rPr>
          <w:rFonts w:hint="eastAsia" w:ascii="宋体" w:hAnsi="宋体"/>
          <w:color w:val="auto"/>
          <w:sz w:val="24"/>
        </w:rPr>
        <w:t>8年2月27日10</w:t>
      </w:r>
      <w:r>
        <w:rPr>
          <w:rFonts w:ascii="宋体" w:hAnsi="宋体"/>
          <w:color w:val="auto"/>
          <w:sz w:val="24"/>
        </w:rPr>
        <w:t>:</w:t>
      </w:r>
      <w:r>
        <w:rPr>
          <w:rFonts w:hint="eastAsia" w:ascii="宋体" w:hAnsi="宋体"/>
          <w:color w:val="auto"/>
          <w:sz w:val="24"/>
        </w:rPr>
        <w:t>0</w:t>
      </w:r>
      <w:r>
        <w:rPr>
          <w:rFonts w:ascii="宋体" w:hAnsi="宋体"/>
          <w:color w:val="auto"/>
          <w:sz w:val="24"/>
        </w:rPr>
        <w:t>0</w:t>
      </w:r>
      <w:r>
        <w:rPr>
          <w:rFonts w:hint="eastAsia" w:ascii="宋体" w:hAnsi="宋体"/>
          <w:color w:val="auto"/>
          <w:sz w:val="24"/>
        </w:rPr>
        <w:t>（开标时间）之前不准启封”字样，封口处应粘贴牢固</w:t>
      </w:r>
      <w:r>
        <w:rPr>
          <w:rFonts w:hint="eastAsia" w:ascii="宋体" w:hAnsi="宋体"/>
          <w:bCs/>
          <w:color w:val="auto"/>
          <w:sz w:val="24"/>
        </w:rPr>
        <w:t>，并加盖投标人公章。</w:t>
      </w:r>
    </w:p>
    <w:p>
      <w:pPr>
        <w:spacing w:line="400" w:lineRule="exact"/>
        <w:ind w:left="315" w:leftChars="150" w:firstLine="240" w:firstLineChars="100"/>
        <w:rPr>
          <w:rFonts w:ascii="宋体" w:hAnsi="宋体"/>
          <w:color w:val="auto"/>
          <w:sz w:val="24"/>
        </w:rPr>
      </w:pPr>
      <w:r>
        <w:rPr>
          <w:rFonts w:hint="eastAsia" w:ascii="宋体" w:hAnsi="宋体"/>
          <w:bCs/>
          <w:color w:val="auto"/>
          <w:sz w:val="24"/>
        </w:rPr>
        <w:t>（2）投标人代表应提供《法人代表授权委托书》（法人参加投标的应提供《法人证明书》）及身份证原件，在开标前提交查验。</w:t>
      </w:r>
    </w:p>
    <w:p>
      <w:pPr>
        <w:spacing w:line="400" w:lineRule="exact"/>
        <w:ind w:firstLine="482"/>
        <w:rPr>
          <w:rFonts w:ascii="宋体"/>
          <w:bCs/>
          <w:color w:val="auto"/>
          <w:sz w:val="24"/>
        </w:rPr>
      </w:pPr>
      <w:r>
        <w:rPr>
          <w:rFonts w:hint="eastAsia" w:ascii="宋体" w:hAnsi="宋体"/>
          <w:color w:val="auto"/>
          <w:sz w:val="24"/>
        </w:rPr>
        <w:t>（3）</w:t>
      </w:r>
      <w:r>
        <w:rPr>
          <w:rFonts w:hint="eastAsia" w:ascii="宋体" w:hAnsi="宋体"/>
          <w:b/>
          <w:color w:val="auto"/>
          <w:sz w:val="24"/>
        </w:rPr>
        <w:t>投标人应单独提供一份“开标一览表”</w:t>
      </w:r>
      <w:r>
        <w:rPr>
          <w:rFonts w:hint="eastAsia" w:ascii="宋体" w:hAnsi="宋体"/>
          <w:color w:val="auto"/>
          <w:sz w:val="24"/>
        </w:rPr>
        <w:t>，密封在开标信封内，信封上注明项目名称、招标编号、包件号、投标人名称</w:t>
      </w:r>
      <w:r>
        <w:rPr>
          <w:rFonts w:hint="eastAsia" w:ascii="宋体" w:hAnsi="宋体"/>
          <w:bCs/>
          <w:color w:val="auto"/>
          <w:sz w:val="24"/>
        </w:rPr>
        <w:t>并加盖投标人公章。</w:t>
      </w:r>
    </w:p>
    <w:p>
      <w:pPr>
        <w:spacing w:line="400" w:lineRule="exact"/>
        <w:ind w:firstLine="482"/>
        <w:rPr>
          <w:rFonts w:ascii="宋体"/>
          <w:color w:val="auto"/>
          <w:sz w:val="24"/>
        </w:rPr>
      </w:pPr>
      <w:r>
        <w:rPr>
          <w:rFonts w:hint="eastAsia" w:ascii="宋体" w:hAnsi="宋体"/>
          <w:color w:val="auto"/>
          <w:sz w:val="24"/>
        </w:rPr>
        <w:t>（4）如果未按前款规定密封和标记，招标采购单位对投标文件的误投或提前拆封不负责任。对由此造成提前开封的投标文件，招标采购单位将予以拒绝，并退回投标人。</w:t>
      </w:r>
    </w:p>
    <w:p>
      <w:pPr>
        <w:spacing w:line="460" w:lineRule="exact"/>
        <w:ind w:right="26"/>
        <w:rPr>
          <w:rFonts w:ascii="宋体"/>
          <w:bCs/>
          <w:color w:val="auto"/>
          <w:sz w:val="24"/>
        </w:rPr>
      </w:pPr>
      <w:bookmarkStart w:id="7" w:name="_Toc307216490"/>
      <w:r>
        <w:rPr>
          <w:rFonts w:ascii="宋体" w:hAnsi="宋体"/>
          <w:color w:val="auto"/>
          <w:sz w:val="24"/>
        </w:rPr>
        <w:t>2</w:t>
      </w:r>
      <w:r>
        <w:rPr>
          <w:rFonts w:hint="eastAsia" w:ascii="宋体" w:hAnsi="宋体"/>
          <w:color w:val="auto"/>
          <w:sz w:val="24"/>
        </w:rPr>
        <w:t>．投标文件的递交</w:t>
      </w:r>
    </w:p>
    <w:p>
      <w:pPr>
        <w:spacing w:line="400" w:lineRule="exact"/>
        <w:ind w:firstLine="480" w:firstLineChars="200"/>
        <w:rPr>
          <w:rFonts w:ascii="宋体"/>
          <w:color w:val="auto"/>
          <w:sz w:val="24"/>
        </w:rPr>
      </w:pPr>
      <w:r>
        <w:rPr>
          <w:rFonts w:hint="eastAsia" w:ascii="宋体" w:hAnsi="宋体"/>
          <w:color w:val="auto"/>
          <w:sz w:val="24"/>
        </w:rPr>
        <w:t>投标单位应按投标文件的要求编写投标书，标书上交时间（</w:t>
      </w:r>
      <w:r>
        <w:rPr>
          <w:rFonts w:ascii="宋体" w:hAnsi="宋体"/>
          <w:color w:val="auto"/>
          <w:sz w:val="24"/>
        </w:rPr>
        <w:t>201</w:t>
      </w:r>
      <w:r>
        <w:rPr>
          <w:rFonts w:hint="eastAsia" w:ascii="宋体" w:hAnsi="宋体"/>
          <w:color w:val="auto"/>
          <w:sz w:val="24"/>
        </w:rPr>
        <w:t>8年2月27日上午8：3</w:t>
      </w:r>
      <w:r>
        <w:rPr>
          <w:rFonts w:ascii="宋体"/>
          <w:color w:val="auto"/>
          <w:sz w:val="24"/>
        </w:rPr>
        <w:t>0</w:t>
      </w:r>
      <w:r>
        <w:rPr>
          <w:rFonts w:hint="eastAsia" w:ascii="宋体" w:hAnsi="宋体"/>
          <w:color w:val="auto"/>
          <w:sz w:val="24"/>
        </w:rPr>
        <w:t>～10：0</w:t>
      </w:r>
      <w:r>
        <w:rPr>
          <w:rFonts w:ascii="宋体" w:hAnsi="宋体"/>
          <w:color w:val="auto"/>
          <w:sz w:val="24"/>
        </w:rPr>
        <w:t>0</w:t>
      </w:r>
      <w:r>
        <w:rPr>
          <w:rFonts w:hint="eastAsia" w:ascii="宋体" w:hAnsi="宋体"/>
          <w:color w:val="auto"/>
          <w:sz w:val="24"/>
        </w:rPr>
        <w:t>）内密封送达指定地点。投标文件封面标明投标者的名称、详细地址、项目名称、正本或副本，封口处应加盖投标人单位公章，并注明“开标时才能启封”字样。由于投标文件未密封或未作标记，而造成投标文件错放或提前开启，招标方不负责任，提前开启的投标文件可被拒绝。</w:t>
      </w:r>
    </w:p>
    <w:p>
      <w:pPr>
        <w:spacing w:line="400" w:lineRule="exact"/>
        <w:ind w:firstLine="480" w:firstLineChars="200"/>
        <w:rPr>
          <w:rFonts w:ascii="宋体"/>
          <w:color w:val="auto"/>
          <w:sz w:val="24"/>
        </w:rPr>
      </w:pPr>
      <w:r>
        <w:rPr>
          <w:rFonts w:hint="eastAsia" w:ascii="宋体" w:hAnsi="宋体"/>
          <w:color w:val="auto"/>
          <w:sz w:val="24"/>
        </w:rPr>
        <w:t>投标人在递交投标文件后，可以修改或撤回递交的投标文件，但必须在规定的投标截止日期以前，以书面形式通知招标方。有关修改或撤回的书面文件必须由签署原投标文件的签字人签字，并加盖公章方为有效。</w:t>
      </w:r>
      <w:bookmarkEnd w:id="7"/>
      <w:r>
        <w:rPr>
          <w:rFonts w:hint="eastAsia" w:ascii="宋体" w:hAnsi="宋体"/>
          <w:color w:val="auto"/>
          <w:sz w:val="24"/>
        </w:rPr>
        <w:t>在投标截止时间之后，投标人不得对其递交的投标文件做任何修改或撤回投标。</w:t>
      </w:r>
    </w:p>
    <w:p>
      <w:pPr>
        <w:spacing w:line="400" w:lineRule="exact"/>
        <w:rPr>
          <w:rFonts w:ascii="宋体"/>
          <w:color w:val="auto"/>
          <w:sz w:val="24"/>
        </w:rPr>
      </w:pPr>
      <w:r>
        <w:rPr>
          <w:rFonts w:ascii="宋体" w:hAnsi="宋体"/>
          <w:color w:val="auto"/>
          <w:sz w:val="24"/>
        </w:rPr>
        <w:t>3</w:t>
      </w:r>
      <w:r>
        <w:rPr>
          <w:rFonts w:hint="eastAsia" w:ascii="宋体" w:hAnsi="宋体"/>
          <w:color w:val="auto"/>
          <w:sz w:val="24"/>
        </w:rPr>
        <w:t>．投标文件的质疑</w:t>
      </w:r>
    </w:p>
    <w:p>
      <w:pPr>
        <w:spacing w:line="400" w:lineRule="exact"/>
        <w:ind w:firstLine="480" w:firstLineChars="200"/>
        <w:rPr>
          <w:rFonts w:ascii="宋体"/>
          <w:color w:val="auto"/>
          <w:sz w:val="24"/>
        </w:rPr>
      </w:pPr>
      <w:r>
        <w:rPr>
          <w:rFonts w:hint="eastAsia" w:ascii="宋体" w:hAnsi="宋体"/>
          <w:color w:val="auto"/>
          <w:sz w:val="24"/>
        </w:rPr>
        <w:t>投标单位对招标文件的个别内容有异议时，允许在投标截止日期之前</w:t>
      </w:r>
      <w:r>
        <w:rPr>
          <w:rFonts w:ascii="宋体" w:hAnsi="宋体"/>
          <w:color w:val="auto"/>
          <w:sz w:val="24"/>
        </w:rPr>
        <w:t>3</w:t>
      </w:r>
      <w:r>
        <w:rPr>
          <w:rFonts w:hint="eastAsia" w:ascii="宋体" w:hAnsi="宋体"/>
          <w:color w:val="auto"/>
          <w:sz w:val="24"/>
        </w:rPr>
        <w:t>个工作日内向招标人提出质疑。未另作说明时，即视投标单位已经接受招标书所有内容，一旦中标即成为双方签订的合同文件的组成部分。</w:t>
      </w:r>
    </w:p>
    <w:p>
      <w:pPr>
        <w:pStyle w:val="3"/>
        <w:spacing w:line="400" w:lineRule="exact"/>
        <w:rPr>
          <w:rFonts w:ascii="宋体" w:hAnsi="宋体"/>
          <w:color w:val="auto"/>
          <w:sz w:val="28"/>
          <w:szCs w:val="24"/>
        </w:rPr>
      </w:pPr>
      <w:r>
        <w:rPr>
          <w:rFonts w:hint="eastAsia" w:ascii="宋体" w:hAnsi="宋体"/>
          <w:color w:val="auto"/>
          <w:sz w:val="28"/>
          <w:szCs w:val="24"/>
        </w:rPr>
        <w:t>八．评标及磋商程序</w:t>
      </w:r>
    </w:p>
    <w:p>
      <w:pPr>
        <w:spacing w:line="400" w:lineRule="exact"/>
        <w:ind w:firstLine="480" w:firstLineChars="200"/>
        <w:rPr>
          <w:rFonts w:ascii="宋体" w:hAnsi="宋体"/>
          <w:sz w:val="24"/>
        </w:rPr>
      </w:pPr>
      <w:r>
        <w:rPr>
          <w:rFonts w:hint="eastAsia" w:ascii="宋体" w:hAnsi="宋体"/>
          <w:sz w:val="24"/>
        </w:rPr>
        <w:t>由学校招投标主管部门在评委库随机抽选的有关专家、主管部门代表组成评标小组（也是磋商小组），共5人组成，进行评标与磋商。</w:t>
      </w:r>
    </w:p>
    <w:p>
      <w:pPr>
        <w:numPr>
          <w:ilvl w:val="0"/>
          <w:numId w:val="1"/>
        </w:numPr>
        <w:spacing w:line="400" w:lineRule="exact"/>
        <w:ind w:firstLine="480" w:firstLineChars="200"/>
        <w:rPr>
          <w:rFonts w:ascii="宋体" w:hAnsi="宋体"/>
          <w:sz w:val="24"/>
        </w:rPr>
      </w:pPr>
      <w:r>
        <w:rPr>
          <w:rFonts w:hint="eastAsia" w:ascii="宋体" w:hAnsi="宋体"/>
          <w:sz w:val="24"/>
        </w:rPr>
        <w:t>资格性和符合性审查。对所有投标人递交的投标文件进行资格性和符合性审查，遴选出合格的投标人。资格性和符合性审查不合格的投标文件作为无效投标处理，不进入下一轮磋商。</w:t>
      </w:r>
    </w:p>
    <w:p>
      <w:pPr>
        <w:numPr>
          <w:ilvl w:val="0"/>
          <w:numId w:val="1"/>
        </w:numPr>
        <w:spacing w:line="400" w:lineRule="exact"/>
        <w:ind w:firstLine="480" w:firstLineChars="200"/>
        <w:rPr>
          <w:rFonts w:ascii="宋体" w:hAnsi="宋体"/>
          <w:sz w:val="24"/>
        </w:rPr>
      </w:pPr>
      <w:r>
        <w:rPr>
          <w:rFonts w:hint="eastAsia" w:ascii="宋体" w:hAnsi="宋体"/>
          <w:sz w:val="24"/>
        </w:rPr>
        <w:t>合格的投标人多于7家时，以首轮投标价按本磋商文件报价得分计算方法计算报价得分，取报价得分前7名进入商务标和技术标的评审，并将结果通知所有投标人；合格投标人少于或等于7家时，对所有投标文件进行商务标和技术标的评审。</w:t>
      </w:r>
    </w:p>
    <w:p>
      <w:pPr>
        <w:numPr>
          <w:ilvl w:val="0"/>
          <w:numId w:val="1"/>
        </w:numPr>
        <w:spacing w:line="400" w:lineRule="exact"/>
        <w:ind w:firstLine="480" w:firstLineChars="200"/>
        <w:rPr>
          <w:rFonts w:ascii="宋体" w:hAnsi="宋体"/>
          <w:sz w:val="24"/>
        </w:rPr>
      </w:pPr>
      <w:r>
        <w:rPr>
          <w:rFonts w:hint="eastAsia" w:ascii="宋体" w:hAnsi="宋体"/>
          <w:sz w:val="24"/>
        </w:rPr>
        <w:t>商务标和技术标评审结束后，合格的投标人按抽签顺序与磋商小组进行竞争性磋商。就施工方案（质量、工期）、技术要求、报价等进行磋商。磋商小组要求候选人在规定的时间内，根据项目工程量清单及自身实际情况进行最后一轮报价。</w:t>
      </w:r>
    </w:p>
    <w:p>
      <w:pPr>
        <w:numPr>
          <w:ilvl w:val="0"/>
          <w:numId w:val="1"/>
        </w:numPr>
        <w:spacing w:line="400" w:lineRule="exact"/>
        <w:ind w:firstLine="480" w:firstLineChars="200"/>
        <w:rPr>
          <w:rFonts w:ascii="宋体" w:hAnsi="宋体"/>
          <w:sz w:val="24"/>
        </w:rPr>
      </w:pPr>
      <w:r>
        <w:rPr>
          <w:rFonts w:hint="eastAsia" w:ascii="宋体" w:hAnsi="宋体"/>
          <w:sz w:val="24"/>
        </w:rPr>
        <w:t>确定中标候选人排序：根据所有参加磋商的投标人的最终报价作为依据，根据评标办法再次计算报价得分。结合商务标和技术标得分情况汇总计算出投标人的最终得分，按最终得分由高到低的原则确定投标人的排序。并将结果通知所有参与磋商的投标人。</w:t>
      </w:r>
    </w:p>
    <w:p>
      <w:pPr>
        <w:spacing w:line="400" w:lineRule="exact"/>
        <w:ind w:firstLine="480" w:firstLineChars="200"/>
        <w:rPr>
          <w:rFonts w:ascii="宋体"/>
          <w:color w:val="FF0000"/>
          <w:sz w:val="24"/>
        </w:rPr>
      </w:pPr>
      <w:r>
        <w:rPr>
          <w:rFonts w:hint="eastAsia" w:ascii="宋体" w:hAnsi="宋体"/>
          <w:color w:val="FF0000"/>
          <w:sz w:val="24"/>
        </w:rPr>
        <w:t>磋商时间：</w:t>
      </w:r>
      <w:r>
        <w:rPr>
          <w:rFonts w:ascii="宋体" w:hAnsi="宋体"/>
          <w:color w:val="FF0000"/>
          <w:sz w:val="24"/>
        </w:rPr>
        <w:t>201</w:t>
      </w:r>
      <w:r>
        <w:rPr>
          <w:rFonts w:hint="eastAsia" w:ascii="宋体" w:hAnsi="宋体"/>
          <w:color w:val="FF0000"/>
          <w:sz w:val="24"/>
        </w:rPr>
        <w:t>8年2月27日上午10</w:t>
      </w:r>
      <w:r>
        <w:rPr>
          <w:rFonts w:ascii="宋体" w:hAnsi="宋体"/>
          <w:color w:val="FF0000"/>
          <w:sz w:val="24"/>
        </w:rPr>
        <w:t>:</w:t>
      </w:r>
      <w:r>
        <w:rPr>
          <w:rFonts w:hint="eastAsia" w:ascii="宋体" w:hAnsi="宋体"/>
          <w:color w:val="FF0000"/>
          <w:sz w:val="24"/>
        </w:rPr>
        <w:t>0</w:t>
      </w:r>
      <w:r>
        <w:rPr>
          <w:rFonts w:ascii="宋体" w:hAnsi="宋体"/>
          <w:color w:val="FF0000"/>
          <w:sz w:val="24"/>
        </w:rPr>
        <w:t>0</w:t>
      </w:r>
      <w:r>
        <w:rPr>
          <w:rFonts w:hint="eastAsia" w:ascii="宋体" w:hAnsi="宋体"/>
          <w:color w:val="FF0000"/>
          <w:sz w:val="24"/>
        </w:rPr>
        <w:t>分；</w:t>
      </w:r>
    </w:p>
    <w:p>
      <w:pPr>
        <w:spacing w:line="440" w:lineRule="exact"/>
        <w:ind w:firstLine="484" w:firstLineChars="202"/>
        <w:rPr>
          <w:rFonts w:ascii="宋体" w:hAnsi="宋体"/>
          <w:color w:val="FF0000"/>
          <w:sz w:val="24"/>
        </w:rPr>
      </w:pPr>
      <w:r>
        <w:rPr>
          <w:rFonts w:hint="eastAsia" w:ascii="宋体" w:hAnsi="宋体"/>
          <w:color w:val="FF0000"/>
          <w:sz w:val="24"/>
        </w:rPr>
        <w:t>磋商地点：长江大学农业科技产业园会议室。</w:t>
      </w:r>
    </w:p>
    <w:p>
      <w:pPr>
        <w:spacing w:line="400" w:lineRule="exact"/>
        <w:ind w:firstLine="480" w:firstLineChars="200"/>
        <w:rPr>
          <w:rFonts w:ascii="宋体"/>
          <w:sz w:val="24"/>
        </w:rPr>
      </w:pPr>
      <w:r>
        <w:rPr>
          <w:rFonts w:ascii="宋体" w:hAnsi="宋体"/>
          <w:sz w:val="24"/>
        </w:rPr>
        <w:t>4</w:t>
      </w:r>
      <w:r>
        <w:rPr>
          <w:rFonts w:hint="eastAsia" w:ascii="宋体" w:hAnsi="宋体"/>
          <w:sz w:val="24"/>
        </w:rPr>
        <w:t>、属于下列情况之一者作为无效投标：</w:t>
      </w:r>
    </w:p>
    <w:p>
      <w:pPr>
        <w:spacing w:line="400" w:lineRule="exact"/>
        <w:ind w:firstLine="600" w:firstLineChars="250"/>
        <w:rPr>
          <w:rFonts w:ascii="宋体"/>
          <w:sz w:val="24"/>
        </w:rPr>
      </w:pPr>
      <w:r>
        <w:rPr>
          <w:rFonts w:hint="eastAsia" w:ascii="宋体" w:hAnsi="宋体"/>
          <w:sz w:val="24"/>
        </w:rPr>
        <w:t>4.1投标文件送达的时间超过规定的投标截止时间；</w:t>
      </w:r>
    </w:p>
    <w:p>
      <w:pPr>
        <w:spacing w:line="400" w:lineRule="exact"/>
        <w:ind w:firstLine="600" w:firstLineChars="250"/>
        <w:rPr>
          <w:rFonts w:ascii="宋体"/>
          <w:sz w:val="24"/>
        </w:rPr>
      </w:pPr>
      <w:r>
        <w:rPr>
          <w:rFonts w:hint="eastAsia" w:ascii="宋体" w:hAnsi="宋体"/>
          <w:sz w:val="24"/>
        </w:rPr>
        <w:t>4.2投标文件未密封；</w:t>
      </w:r>
    </w:p>
    <w:p>
      <w:pPr>
        <w:spacing w:line="400" w:lineRule="exact"/>
        <w:ind w:firstLine="600" w:firstLineChars="250"/>
        <w:rPr>
          <w:rFonts w:ascii="宋体"/>
          <w:sz w:val="24"/>
        </w:rPr>
      </w:pPr>
      <w:r>
        <w:rPr>
          <w:rFonts w:hint="eastAsia" w:ascii="宋体"/>
          <w:sz w:val="24"/>
        </w:rPr>
        <w:t>4.3</w:t>
      </w:r>
      <w:r>
        <w:rPr>
          <w:rFonts w:hint="eastAsia" w:ascii="宋体" w:hAnsi="宋体"/>
          <w:sz w:val="24"/>
        </w:rPr>
        <w:t>经查证核实有相互串通哄抬标价行为的相关投标；</w:t>
      </w:r>
    </w:p>
    <w:p>
      <w:pPr>
        <w:spacing w:line="400" w:lineRule="exact"/>
        <w:ind w:firstLine="600" w:firstLineChars="250"/>
        <w:rPr>
          <w:rFonts w:ascii="宋体"/>
          <w:sz w:val="24"/>
        </w:rPr>
      </w:pPr>
      <w:r>
        <w:rPr>
          <w:rFonts w:hint="eastAsia" w:ascii="宋体" w:hAnsi="宋体"/>
          <w:sz w:val="24"/>
        </w:rPr>
        <w:t>4.4投标文件未经法人代表签字或未盖单位公章；</w:t>
      </w:r>
    </w:p>
    <w:p>
      <w:pPr>
        <w:spacing w:line="400" w:lineRule="exact"/>
        <w:ind w:firstLine="600" w:firstLineChars="250"/>
        <w:rPr>
          <w:rFonts w:ascii="宋体"/>
          <w:sz w:val="24"/>
        </w:rPr>
      </w:pPr>
      <w:r>
        <w:rPr>
          <w:rFonts w:hint="eastAsia" w:ascii="宋体" w:hAnsi="宋体"/>
          <w:sz w:val="24"/>
        </w:rPr>
        <w:t>4.5投标文件有备选方案或多项方案者；</w:t>
      </w:r>
    </w:p>
    <w:p>
      <w:pPr>
        <w:spacing w:line="400" w:lineRule="exact"/>
        <w:ind w:firstLine="600" w:firstLineChars="250"/>
        <w:rPr>
          <w:rFonts w:ascii="宋体" w:hAnsi="宋体"/>
          <w:sz w:val="24"/>
        </w:rPr>
      </w:pPr>
      <w:r>
        <w:rPr>
          <w:rFonts w:hint="eastAsia" w:ascii="宋体" w:hAnsi="宋体"/>
          <w:sz w:val="24"/>
        </w:rPr>
        <w:t>4.6投标技术响应和商务响应不能满足磋商文件第四章“采购内容及技术服务要求”中技术要求和商务要求的；</w:t>
      </w:r>
    </w:p>
    <w:p>
      <w:pPr>
        <w:spacing w:line="400" w:lineRule="exact"/>
        <w:rPr>
          <w:rFonts w:ascii="宋体"/>
          <w:sz w:val="24"/>
        </w:rPr>
      </w:pPr>
      <w:r>
        <w:rPr>
          <w:rFonts w:hint="eastAsia" w:ascii="宋体" w:hAnsi="宋体"/>
          <w:sz w:val="24"/>
        </w:rPr>
        <w:t xml:space="preserve">     </w:t>
      </w:r>
      <w:r>
        <w:rPr>
          <w:rFonts w:ascii="宋体" w:hAnsi="宋体"/>
          <w:sz w:val="24"/>
        </w:rPr>
        <w:t>5</w:t>
      </w:r>
      <w:r>
        <w:rPr>
          <w:rFonts w:hint="eastAsia" w:ascii="宋体" w:hAnsi="宋体"/>
          <w:sz w:val="24"/>
        </w:rPr>
        <w:t>、磋商小组本着公开、公平、公正的原则，按规定的程序及评标办法进行评标。</w:t>
      </w:r>
    </w:p>
    <w:p>
      <w:pPr>
        <w:spacing w:line="400" w:lineRule="exact"/>
        <w:ind w:firstLine="480" w:firstLineChars="200"/>
        <w:rPr>
          <w:rFonts w:ascii="宋体"/>
          <w:sz w:val="24"/>
        </w:rPr>
      </w:pPr>
      <w:r>
        <w:rPr>
          <w:rFonts w:ascii="宋体" w:hAnsi="宋体"/>
          <w:sz w:val="24"/>
        </w:rPr>
        <w:t>6</w:t>
      </w:r>
      <w:r>
        <w:rPr>
          <w:rFonts w:hint="eastAsia" w:ascii="宋体" w:hAnsi="宋体"/>
          <w:sz w:val="24"/>
        </w:rPr>
        <w:t>、评标办法及细则：</w:t>
      </w:r>
    </w:p>
    <w:p>
      <w:pPr>
        <w:spacing w:line="400" w:lineRule="exact"/>
        <w:rPr>
          <w:rFonts w:ascii="宋体" w:hAnsi="宋体" w:cs="宋体"/>
          <w:sz w:val="24"/>
        </w:rPr>
      </w:pPr>
      <w:bookmarkStart w:id="8" w:name="OLE_LINK20"/>
      <w:bookmarkStart w:id="9" w:name="OLE_LINK19"/>
      <w:r>
        <w:rPr>
          <w:rFonts w:hint="eastAsia" w:ascii="宋体" w:hAnsi="宋体" w:cs="宋体"/>
          <w:b/>
          <w:bCs/>
          <w:sz w:val="24"/>
        </w:rPr>
        <w:t>（一）报价得分：                                             （60分）</w:t>
      </w:r>
      <w:bookmarkEnd w:id="8"/>
    </w:p>
    <w:bookmarkEnd w:id="9"/>
    <w:p>
      <w:pPr>
        <w:spacing w:line="400" w:lineRule="exact"/>
        <w:ind w:firstLine="480" w:firstLineChars="200"/>
        <w:rPr>
          <w:rFonts w:ascii="宋体" w:hAnsi="宋体"/>
          <w:sz w:val="24"/>
        </w:rPr>
      </w:pPr>
      <w:r>
        <w:rPr>
          <w:rFonts w:hint="eastAsia" w:ascii="宋体" w:hAnsi="宋体"/>
          <w:sz w:val="24"/>
        </w:rPr>
        <w:t>综合评分法中的价格采用平均价优先法计算，即参与磋商后的所有投标人最后报价的算术平均值为磋商基准价，其价格分为满分（60分）。其他投标人的价格分统一按照下列公式计算：</w:t>
      </w:r>
    </w:p>
    <w:p>
      <w:pPr>
        <w:spacing w:line="400" w:lineRule="exact"/>
        <w:ind w:firstLine="480" w:firstLineChars="200"/>
        <w:rPr>
          <w:rFonts w:ascii="宋体" w:hAnsi="宋体"/>
          <w:sz w:val="24"/>
        </w:rPr>
      </w:pPr>
      <w:r>
        <w:rPr>
          <w:rFonts w:hint="eastAsia" w:ascii="宋体" w:hAnsi="宋体"/>
          <w:sz w:val="24"/>
        </w:rPr>
        <w:t>偏离基准价时，按每高于基准价1%扣2分，每低于基准价1%扣1分的原则计算所有投标人的偏离扣分。</w:t>
      </w:r>
    </w:p>
    <w:p>
      <w:pPr>
        <w:spacing w:line="400" w:lineRule="exact"/>
        <w:ind w:firstLine="480" w:firstLineChars="200"/>
        <w:rPr>
          <w:rFonts w:ascii="Times New Roman" w:hAnsi="Times New Roman"/>
          <w:sz w:val="24"/>
        </w:rPr>
      </w:pPr>
      <w:r>
        <w:rPr>
          <w:rFonts w:hint="eastAsia" w:ascii="Times New Roman" w:hAnsi="Times New Roman"/>
          <w:sz w:val="24"/>
        </w:rPr>
        <w:t>磋商基准价价</w:t>
      </w:r>
      <m:oMath>
        <m:bar>
          <m:barPr>
            <m:pos m:val="top"/>
            <m:ctrlPr>
              <w:rPr>
                <w:rFonts w:ascii="Cambria Math" w:hAnsi="Cambria Math"/>
                <w:sz w:val="24"/>
              </w:rPr>
            </m:ctrlPr>
          </m:barPr>
          <m:e>
            <m:r>
              <w:rPr>
                <w:rFonts w:ascii="Cambria Math" w:hAnsi="Cambria Math"/>
                <w:sz w:val="24"/>
              </w:rPr>
              <m:t>x</m:t>
            </m:r>
            <m:ctrlPr>
              <w:rPr>
                <w:rFonts w:ascii="Cambria Math" w:hAnsi="Cambria Math"/>
                <w:sz w:val="24"/>
              </w:rPr>
            </m:ctrlPr>
          </m:e>
        </m:bar>
      </m:oMath>
      <w:r>
        <w:rPr>
          <w:rFonts w:hint="eastAsia" w:ascii="Times New Roman" w:hAnsi="Times New Roman"/>
          <w:sz w:val="24"/>
        </w:rPr>
        <w:t>为</w:t>
      </w:r>
    </w:p>
    <w:p>
      <w:pPr>
        <w:jc w:val="center"/>
        <w:rPr>
          <w:rFonts w:ascii="Times New Roman" w:hAnsi="Times New Roman"/>
          <w:sz w:val="24"/>
        </w:rPr>
      </w:pPr>
      <m:oMath>
        <m:bar>
          <m:barPr>
            <m:pos m:val="top"/>
            <m:ctrlPr>
              <w:rPr>
                <w:rFonts w:ascii="Cambria Math" w:hAnsi="Cambria Math"/>
                <w:sz w:val="24"/>
              </w:rPr>
            </m:ctrlPr>
          </m:barPr>
          <m:e>
            <m:r>
              <w:rPr>
                <w:rFonts w:ascii="Cambria Math" w:hAnsi="Cambria Math"/>
                <w:sz w:val="24"/>
              </w:rPr>
              <m:t>x</m:t>
            </m:r>
            <m:ctrlPr>
              <w:rPr>
                <w:rFonts w:ascii="Cambria Math" w:hAnsi="Cambria Math"/>
                <w:sz w:val="24"/>
              </w:rPr>
            </m:ctrlPr>
          </m:e>
        </m:bar>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1</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2</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n</m:t>
                </m:r>
                <m:ctrlPr>
                  <w:rPr>
                    <w:rFonts w:ascii="Cambria Math" w:hAnsi="Cambria Math"/>
                    <w:i/>
                    <w:sz w:val="24"/>
                  </w:rPr>
                </m:ctrlPr>
              </m:sub>
            </m:sSub>
            <m:ctrlPr>
              <w:rPr>
                <w:rFonts w:ascii="Cambria Math" w:hAnsi="Cambria Math"/>
                <w:i/>
                <w:sz w:val="24"/>
              </w:rPr>
            </m:ctrlPr>
          </m:num>
          <m:den>
            <m:r>
              <w:rPr>
                <w:rFonts w:ascii="Cambria Math" w:hAnsi="Cambria Math"/>
                <w:sz w:val="24"/>
              </w:rPr>
              <m:t>n</m:t>
            </m:r>
            <m:ctrlPr>
              <w:rPr>
                <w:rFonts w:ascii="Cambria Math" w:hAnsi="Cambria Math"/>
                <w:i/>
                <w:sz w:val="24"/>
              </w:rPr>
            </m:ctrlPr>
          </m:den>
        </m:f>
      </m:oMath>
      <w:r>
        <w:rPr>
          <w:rFonts w:hint="eastAsia" w:ascii="Times New Roman" w:hAnsi="Times New Roman"/>
          <w:sz w:val="24"/>
        </w:rPr>
        <w:t>，（</w:t>
      </w:r>
      <w:r>
        <w:rPr>
          <w:rFonts w:ascii="Times New Roman" w:hAnsi="Times New Roman"/>
          <w:i/>
          <w:sz w:val="24"/>
        </w:rPr>
        <w:t>n</w:t>
      </w:r>
      <w:r>
        <w:rPr>
          <w:rFonts w:ascii="Times New Roman" w:hAnsi="Times New Roman"/>
          <w:sz w:val="24"/>
        </w:rPr>
        <w:t>为投标人数</w:t>
      </w:r>
      <w:r>
        <w:rPr>
          <w:rFonts w:hint="eastAsia" w:ascii="Times New Roman" w:hAnsi="Times New Roman"/>
          <w:sz w:val="24"/>
        </w:rPr>
        <w:t>，</w:t>
      </w:r>
      <w:r>
        <w:rPr>
          <w:rFonts w:ascii="Times New Roman" w:hAnsi="Times New Roman"/>
          <w:sz w:val="24"/>
        </w:rPr>
        <w:t>其</w:t>
      </w:r>
      <w:r>
        <w:rPr>
          <w:rFonts w:hint="eastAsia" w:ascii="Times New Roman" w:hAnsi="Times New Roman"/>
          <w:sz w:val="24"/>
        </w:rPr>
        <w:t>投标</w:t>
      </w:r>
      <w:r>
        <w:rPr>
          <w:rFonts w:ascii="Times New Roman" w:hAnsi="Times New Roman"/>
          <w:sz w:val="24"/>
        </w:rPr>
        <w:t>价格分别为</w:t>
      </w:r>
      <w:r>
        <w:rPr>
          <w:rFonts w:hint="eastAsia" w:ascii="Times New Roman" w:hAnsi="Times New Roman"/>
          <w:i/>
          <w:sz w:val="24"/>
        </w:rPr>
        <w:t>x</w:t>
      </w:r>
      <w:r>
        <w:rPr>
          <w:rFonts w:hint="eastAsia" w:ascii="Times New Roman" w:hAnsi="Times New Roman"/>
          <w:sz w:val="24"/>
          <w:vertAlign w:val="subscript"/>
        </w:rPr>
        <w:t>1</w:t>
      </w:r>
      <w:r>
        <w:rPr>
          <w:rFonts w:ascii="Times New Roman" w:hAnsi="Times New Roman"/>
          <w:sz w:val="24"/>
        </w:rPr>
        <w:t>，</w:t>
      </w:r>
      <w:r>
        <w:rPr>
          <w:rFonts w:hint="eastAsia" w:ascii="Times New Roman" w:hAnsi="Times New Roman"/>
          <w:i/>
          <w:sz w:val="24"/>
        </w:rPr>
        <w:t>x</w:t>
      </w:r>
      <w:r>
        <w:rPr>
          <w:rFonts w:hint="eastAsia" w:ascii="Times New Roman" w:hAnsi="Times New Roman"/>
          <w:sz w:val="24"/>
          <w:vertAlign w:val="subscript"/>
        </w:rPr>
        <w:t>2</w:t>
      </w:r>
      <w:r>
        <w:rPr>
          <w:rFonts w:ascii="Times New Roman" w:hAnsi="Times New Roman"/>
          <w:sz w:val="24"/>
        </w:rPr>
        <w:t>，</w:t>
      </w:r>
      <w:r>
        <w:rPr>
          <w:rFonts w:hint="eastAsia" w:asciiTheme="minorEastAsia" w:hAnsiTheme="minorEastAsia"/>
          <w:sz w:val="24"/>
        </w:rPr>
        <w:t>…,</w:t>
      </w:r>
      <w:r>
        <w:rPr>
          <w:rFonts w:hint="eastAsia" w:ascii="Times New Roman" w:hAnsi="Times New Roman"/>
          <w:i/>
          <w:sz w:val="24"/>
        </w:rPr>
        <w:t>x</w:t>
      </w:r>
      <w:r>
        <w:rPr>
          <w:rFonts w:hint="eastAsia" w:ascii="Times New Roman" w:hAnsi="Times New Roman"/>
          <w:i/>
          <w:sz w:val="24"/>
          <w:vertAlign w:val="subscript"/>
        </w:rPr>
        <w:t>n</w:t>
      </w:r>
      <w:r>
        <w:rPr>
          <w:rFonts w:hint="eastAsia" w:ascii="Times New Roman" w:hAnsi="Times New Roman"/>
          <w:sz w:val="24"/>
        </w:rPr>
        <w:t>）</w:t>
      </w:r>
    </w:p>
    <w:p>
      <w:pPr>
        <w:spacing w:line="400" w:lineRule="exact"/>
        <w:ind w:firstLine="480" w:firstLineChars="200"/>
        <w:rPr>
          <w:rFonts w:ascii="Times New Roman" w:hAnsi="Times New Roman"/>
          <w:sz w:val="24"/>
        </w:rPr>
      </w:pPr>
      <w:r>
        <w:rPr>
          <w:rFonts w:hint="eastAsia" w:ascii="Times New Roman" w:hAnsi="Times New Roman"/>
          <w:sz w:val="24"/>
        </w:rPr>
        <w:t>若投标价格高于</w:t>
      </w:r>
      <m:oMath>
        <m:bar>
          <m:barPr>
            <m:pos m:val="top"/>
            <m:ctrlPr>
              <w:rPr>
                <w:rFonts w:ascii="Cambria Math" w:hAnsi="Cambria Math"/>
                <w:sz w:val="24"/>
              </w:rPr>
            </m:ctrlPr>
          </m:barPr>
          <m:e>
            <m:r>
              <w:rPr>
                <w:rFonts w:ascii="Cambria Math" w:hAnsi="Cambria Math"/>
                <w:sz w:val="24"/>
              </w:rPr>
              <m:t>x</m:t>
            </m:r>
            <m:ctrlPr>
              <w:rPr>
                <w:rFonts w:ascii="Cambria Math" w:hAnsi="Cambria Math"/>
                <w:sz w:val="24"/>
              </w:rPr>
            </m:ctrlPr>
          </m:e>
        </m:bar>
      </m:oMath>
      <w:r>
        <w:rPr>
          <w:rFonts w:hint="eastAsia" w:ascii="Times New Roman" w:hAnsi="Times New Roman"/>
          <w:sz w:val="24"/>
        </w:rPr>
        <w:t>，则其偏离扣分</w:t>
      </w:r>
      <w:r>
        <w:rPr>
          <w:rFonts w:hint="eastAsia" w:ascii="Times New Roman" w:hAnsi="Times New Roman"/>
          <w:i/>
          <w:sz w:val="24"/>
        </w:rPr>
        <w:t>y</w:t>
      </w:r>
      <w:r>
        <w:rPr>
          <w:rFonts w:hint="eastAsia" w:ascii="Times New Roman" w:hAnsi="Times New Roman"/>
          <w:i/>
          <w:sz w:val="24"/>
          <w:vertAlign w:val="subscript"/>
        </w:rPr>
        <w:t>i</w:t>
      </w:r>
      <w:r>
        <w:rPr>
          <w:rFonts w:ascii="Times New Roman" w:hAnsi="Times New Roman"/>
          <w:sz w:val="24"/>
        </w:rPr>
        <w:t>为</w:t>
      </w:r>
    </w:p>
    <w:p>
      <w:pPr>
        <w:jc w:val="center"/>
        <w:rPr>
          <w:rFonts w:ascii="Times New Roman" w:hAnsi="Times New Roman"/>
          <w:sz w:val="24"/>
        </w:rPr>
      </w:pPr>
      <m:oMath>
        <m:sSub>
          <m:sSubPr>
            <m:ctrlPr>
              <w:rPr>
                <w:rFonts w:ascii="Cambria Math" w:hAnsi="Cambria Math"/>
                <w:i/>
                <w:sz w:val="24"/>
              </w:rPr>
            </m:ctrlPr>
          </m:sSubPr>
          <m:e>
            <m:r>
              <w:rPr>
                <w:rFonts w:ascii="Cambria Math" w:hAnsi="Cambria Math"/>
                <w:sz w:val="24"/>
              </w:rPr>
              <m:t>y</m:t>
            </m:r>
            <m:ctrlPr>
              <w:rPr>
                <w:rFonts w:ascii="Cambria Math" w:hAnsi="Cambria Math"/>
                <w:i/>
                <w:sz w:val="24"/>
              </w:rPr>
            </m:ctrlPr>
          </m:e>
          <m:sub>
            <m:r>
              <w:rPr>
                <w:rFonts w:ascii="Cambria Math" w:hAnsi="Cambria Math"/>
                <w:sz w:val="24"/>
              </w:rPr>
              <m:t>i</m:t>
            </m:r>
            <m:ctrlPr>
              <w:rPr>
                <w:rFonts w:ascii="Cambria Math" w:hAnsi="Cambria Math"/>
                <w:i/>
                <w:sz w:val="24"/>
              </w:rPr>
            </m:ctrlP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i</m:t>
                </m:r>
                <m:ctrlPr>
                  <w:rPr>
                    <w:rFonts w:ascii="Cambria Math" w:hAnsi="Cambria Math"/>
                    <w:i/>
                    <w:sz w:val="24"/>
                  </w:rPr>
                </m:ctrlPr>
              </m:sub>
            </m:sSub>
            <m:r>
              <w:rPr>
                <w:rFonts w:ascii="Cambria Math" w:hAnsi="Cambria Math"/>
                <w:sz w:val="24"/>
              </w:rPr>
              <m:t>-</m:t>
            </m:r>
            <m:bar>
              <m:barPr>
                <m:pos m:val="top"/>
                <m:ctrlPr>
                  <w:rPr>
                    <w:rFonts w:ascii="Cambria Math" w:hAnsi="Cambria Math"/>
                    <w:sz w:val="24"/>
                  </w:rPr>
                </m:ctrlPr>
              </m:barPr>
              <m:e>
                <m:r>
                  <w:rPr>
                    <w:rFonts w:ascii="Cambria Math" w:hAnsi="Cambria Math"/>
                    <w:sz w:val="24"/>
                  </w:rPr>
                  <m:t>x</m:t>
                </m:r>
                <m:ctrlPr>
                  <w:rPr>
                    <w:rFonts w:ascii="Cambria Math" w:hAnsi="Cambria Math"/>
                    <w:sz w:val="24"/>
                  </w:rPr>
                </m:ctrlPr>
              </m:e>
            </m:bar>
            <m:ctrlPr>
              <w:rPr>
                <w:rFonts w:ascii="Cambria Math" w:hAnsi="Cambria Math"/>
                <w:i/>
                <w:sz w:val="24"/>
              </w:rPr>
            </m:ctrlPr>
          </m:num>
          <m:den>
            <m:bar>
              <m:barPr>
                <m:pos m:val="top"/>
                <m:ctrlPr>
                  <w:rPr>
                    <w:rFonts w:ascii="Cambria Math" w:hAnsi="Cambria Math"/>
                    <w:sz w:val="24"/>
                  </w:rPr>
                </m:ctrlPr>
              </m:barPr>
              <m:e>
                <m:r>
                  <w:rPr>
                    <w:rFonts w:ascii="Cambria Math" w:hAnsi="Cambria Math"/>
                    <w:sz w:val="24"/>
                  </w:rPr>
                  <m:t>x</m:t>
                </m:r>
                <m:ctrlPr>
                  <w:rPr>
                    <w:rFonts w:ascii="Cambria Math" w:hAnsi="Cambria Math"/>
                    <w:sz w:val="24"/>
                  </w:rPr>
                </m:ctrlPr>
              </m:e>
            </m:bar>
            <m:ctrlPr>
              <w:rPr>
                <w:rFonts w:ascii="Cambria Math" w:hAnsi="Cambria Math"/>
                <w:i/>
                <w:sz w:val="24"/>
              </w:rPr>
            </m:ctrlPr>
          </m:den>
        </m:f>
        <m:r>
          <w:rPr>
            <w:rFonts w:ascii="Cambria Math" w:hAnsi="Cambria Math"/>
            <w:sz w:val="24"/>
          </w:rPr>
          <m:t>×100×2</m:t>
        </m:r>
      </m:oMath>
      <w:r>
        <w:rPr>
          <w:rFonts w:hint="eastAsia" w:ascii="Times New Roman" w:hAnsi="Times New Roman"/>
          <w:sz w:val="24"/>
        </w:rPr>
        <w:t>；</w:t>
      </w:r>
    </w:p>
    <w:p>
      <w:pPr>
        <w:spacing w:line="400" w:lineRule="exact"/>
        <w:ind w:firstLine="480" w:firstLineChars="200"/>
        <w:rPr>
          <w:rFonts w:ascii="Times New Roman" w:hAnsi="Times New Roman"/>
          <w:sz w:val="24"/>
        </w:rPr>
      </w:pPr>
      <w:r>
        <w:rPr>
          <w:rFonts w:hint="eastAsia" w:ascii="Times New Roman" w:hAnsi="Times New Roman"/>
          <w:sz w:val="24"/>
        </w:rPr>
        <w:t>若投标价格低于</w:t>
      </w:r>
      <m:oMath>
        <m:bar>
          <m:barPr>
            <m:pos m:val="top"/>
            <m:ctrlPr>
              <w:rPr>
                <w:rFonts w:ascii="Cambria Math" w:hAnsi="Cambria Math"/>
                <w:sz w:val="24"/>
              </w:rPr>
            </m:ctrlPr>
          </m:barPr>
          <m:e>
            <m:r>
              <w:rPr>
                <w:rFonts w:ascii="Cambria Math" w:hAnsi="Cambria Math"/>
                <w:sz w:val="24"/>
              </w:rPr>
              <m:t>x</m:t>
            </m:r>
            <m:ctrlPr>
              <w:rPr>
                <w:rFonts w:ascii="Cambria Math" w:hAnsi="Cambria Math"/>
                <w:sz w:val="24"/>
              </w:rPr>
            </m:ctrlPr>
          </m:e>
        </m:bar>
      </m:oMath>
      <w:r>
        <w:rPr>
          <w:rFonts w:hint="eastAsia" w:ascii="Times New Roman" w:hAnsi="Times New Roman"/>
          <w:sz w:val="24"/>
        </w:rPr>
        <w:t>，则其偏离扣分</w:t>
      </w:r>
      <w:r>
        <w:rPr>
          <w:rFonts w:hint="eastAsia" w:ascii="Times New Roman" w:hAnsi="Times New Roman"/>
          <w:i/>
          <w:sz w:val="24"/>
        </w:rPr>
        <w:t>y</w:t>
      </w:r>
      <w:r>
        <w:rPr>
          <w:rFonts w:hint="eastAsia" w:ascii="Times New Roman" w:hAnsi="Times New Roman"/>
          <w:sz w:val="24"/>
          <w:vertAlign w:val="subscript"/>
        </w:rPr>
        <w:t>i</w:t>
      </w:r>
      <w:r>
        <w:rPr>
          <w:rFonts w:ascii="Times New Roman" w:hAnsi="Times New Roman"/>
          <w:sz w:val="24"/>
        </w:rPr>
        <w:t>为</w:t>
      </w:r>
    </w:p>
    <w:p>
      <w:pPr>
        <w:jc w:val="center"/>
        <w:rPr>
          <w:rFonts w:ascii="Times New Roman" w:hAnsi="Times New Roman"/>
          <w:sz w:val="24"/>
        </w:rPr>
      </w:pPr>
      <m:oMath>
        <m:sSub>
          <m:sSubPr>
            <m:ctrlPr>
              <w:rPr>
                <w:rFonts w:ascii="Cambria Math" w:hAnsi="Cambria Math"/>
                <w:i/>
                <w:sz w:val="24"/>
              </w:rPr>
            </m:ctrlPr>
          </m:sSubPr>
          <m:e>
            <m:r>
              <w:rPr>
                <w:rFonts w:ascii="Cambria Math" w:hAnsi="Cambria Math"/>
                <w:sz w:val="24"/>
              </w:rPr>
              <m:t>y</m:t>
            </m:r>
            <m:ctrlPr>
              <w:rPr>
                <w:rFonts w:ascii="Cambria Math" w:hAnsi="Cambria Math"/>
                <w:i/>
                <w:sz w:val="24"/>
              </w:rPr>
            </m:ctrlPr>
          </m:e>
          <m:sub>
            <m:r>
              <w:rPr>
                <w:rFonts w:ascii="Cambria Math" w:hAnsi="Cambria Math"/>
                <w:sz w:val="24"/>
              </w:rPr>
              <m:t>i</m:t>
            </m:r>
            <m:ctrlPr>
              <w:rPr>
                <w:rFonts w:ascii="Cambria Math" w:hAnsi="Cambria Math"/>
                <w:i/>
                <w:sz w:val="24"/>
              </w:rPr>
            </m:ctrlPr>
          </m:sub>
        </m:sSub>
        <m:r>
          <w:rPr>
            <w:rFonts w:ascii="Cambria Math" w:hAnsi="Cambria Math"/>
            <w:sz w:val="24"/>
          </w:rPr>
          <m:t>=</m:t>
        </m:r>
        <m:f>
          <m:fPr>
            <m:ctrlPr>
              <w:rPr>
                <w:rFonts w:ascii="Cambria Math" w:hAnsi="Cambria Math"/>
                <w:i/>
                <w:sz w:val="24"/>
              </w:rPr>
            </m:ctrlPr>
          </m:fPr>
          <m:num>
            <m:bar>
              <m:barPr>
                <m:pos m:val="top"/>
                <m:ctrlPr>
                  <w:rPr>
                    <w:rFonts w:ascii="Cambria Math" w:hAnsi="Cambria Math"/>
                    <w:sz w:val="24"/>
                  </w:rPr>
                </m:ctrlPr>
              </m:barPr>
              <m:e>
                <m:r>
                  <w:rPr>
                    <w:rFonts w:ascii="Cambria Math" w:hAnsi="Cambria Math"/>
                    <w:sz w:val="24"/>
                  </w:rPr>
                  <m:t>x</m:t>
                </m:r>
                <m:ctrlPr>
                  <w:rPr>
                    <w:rFonts w:ascii="Cambria Math" w:hAnsi="Cambria Math"/>
                    <w:sz w:val="24"/>
                  </w:rPr>
                </m:ctrlPr>
              </m:e>
            </m:bar>
            <m:r>
              <w:rPr>
                <w:rFonts w:ascii="Cambria Math" w:hAnsi="Cambria Math"/>
                <w:sz w:val="24"/>
              </w:rPr>
              <m:t>-</m:t>
            </m:r>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i</m:t>
                </m:r>
                <m:ctrlPr>
                  <w:rPr>
                    <w:rFonts w:ascii="Cambria Math" w:hAnsi="Cambria Math"/>
                    <w:i/>
                    <w:sz w:val="24"/>
                  </w:rPr>
                </m:ctrlPr>
              </m:sub>
            </m:sSub>
            <m:ctrlPr>
              <w:rPr>
                <w:rFonts w:ascii="Cambria Math" w:hAnsi="Cambria Math"/>
                <w:i/>
                <w:sz w:val="24"/>
              </w:rPr>
            </m:ctrlPr>
          </m:num>
          <m:den>
            <m:bar>
              <m:barPr>
                <m:pos m:val="top"/>
                <m:ctrlPr>
                  <w:rPr>
                    <w:rFonts w:ascii="Cambria Math" w:hAnsi="Cambria Math"/>
                    <w:sz w:val="24"/>
                  </w:rPr>
                </m:ctrlPr>
              </m:barPr>
              <m:e>
                <m:r>
                  <w:rPr>
                    <w:rFonts w:ascii="Cambria Math" w:hAnsi="Cambria Math"/>
                    <w:sz w:val="24"/>
                  </w:rPr>
                  <m:t>x</m:t>
                </m:r>
                <m:ctrlPr>
                  <w:rPr>
                    <w:rFonts w:ascii="Cambria Math" w:hAnsi="Cambria Math"/>
                    <w:sz w:val="24"/>
                  </w:rPr>
                </m:ctrlPr>
              </m:e>
            </m:bar>
            <m:ctrlPr>
              <w:rPr>
                <w:rFonts w:ascii="Cambria Math" w:hAnsi="Cambria Math"/>
                <w:i/>
                <w:sz w:val="24"/>
              </w:rPr>
            </m:ctrlPr>
          </m:den>
        </m:f>
        <m:r>
          <w:rPr>
            <w:rFonts w:ascii="Cambria Math" w:hAnsi="Cambria Math"/>
            <w:sz w:val="24"/>
          </w:rPr>
          <m:t>×100×1</m:t>
        </m:r>
      </m:oMath>
      <w:r>
        <w:rPr>
          <w:rFonts w:hint="eastAsia" w:ascii="Times New Roman" w:hAnsi="Times New Roman"/>
          <w:sz w:val="24"/>
        </w:rPr>
        <w:t>。</w:t>
      </w:r>
    </w:p>
    <w:p>
      <w:pPr>
        <w:spacing w:line="400" w:lineRule="exact"/>
        <w:ind w:firstLine="480" w:firstLineChars="200"/>
        <w:rPr>
          <w:rFonts w:ascii="Times New Roman" w:hAnsi="Times New Roman"/>
          <w:sz w:val="24"/>
        </w:rPr>
      </w:pPr>
      <w:r>
        <w:rPr>
          <w:rFonts w:hint="eastAsia" w:ascii="Times New Roman" w:hAnsi="Times New Roman"/>
          <w:sz w:val="24"/>
        </w:rPr>
        <w:t>从而其磋商报价得分为</w:t>
      </w:r>
    </w:p>
    <w:p>
      <w:pPr>
        <w:jc w:val="center"/>
        <w:rPr>
          <w:rFonts w:ascii="Times New Roman" w:hAnsi="Times New Roman"/>
          <w:sz w:val="24"/>
        </w:rPr>
      </w:pPr>
      <m:oMath>
        <m:sSub>
          <m:sSubPr>
            <m:ctrlPr>
              <w:rPr>
                <w:rFonts w:ascii="Cambria Math" w:hAnsi="Cambria Math"/>
                <w:i/>
                <w:sz w:val="24"/>
              </w:rPr>
            </m:ctrlPr>
          </m:sSubPr>
          <m:e>
            <m:r>
              <w:rPr>
                <w:rFonts w:ascii="Cambria Math" w:hAnsi="Cambria Math"/>
                <w:sz w:val="24"/>
              </w:rPr>
              <m:t>A</m:t>
            </m:r>
            <m:ctrlPr>
              <w:rPr>
                <w:rFonts w:ascii="Cambria Math" w:hAnsi="Cambria Math"/>
                <w:i/>
                <w:sz w:val="24"/>
              </w:rPr>
            </m:ctrlPr>
          </m:e>
          <m:sub>
            <m:r>
              <w:rPr>
                <w:rFonts w:ascii="Cambria Math" w:hAnsi="Cambria Math"/>
                <w:sz w:val="24"/>
              </w:rPr>
              <m:t>i</m:t>
            </m:r>
            <m:ctrlPr>
              <w:rPr>
                <w:rFonts w:ascii="Cambria Math" w:hAnsi="Cambria Math"/>
                <w:i/>
                <w:sz w:val="24"/>
              </w:rPr>
            </m:ctrlPr>
          </m:sub>
        </m:sSub>
        <m:r>
          <w:rPr>
            <w:rFonts w:ascii="Cambria Math" w:hAnsi="Cambria Math"/>
            <w:sz w:val="24"/>
          </w:rPr>
          <m:t>=</m:t>
        </m:r>
        <m:d>
          <m:dPr>
            <m:ctrlPr>
              <w:rPr>
                <w:rFonts w:ascii="Cambria Math" w:hAnsi="Cambria Math"/>
                <w:i/>
                <w:sz w:val="24"/>
              </w:rPr>
            </m:ctrlPr>
          </m:dPr>
          <m:e>
            <m:r>
              <w:rPr>
                <w:rFonts w:ascii="Cambria Math" w:hAnsi="Cambria Math"/>
                <w:sz w:val="24"/>
              </w:rPr>
              <m:t>100-</m:t>
            </m:r>
            <m:sSub>
              <m:sSubPr>
                <m:ctrlPr>
                  <w:rPr>
                    <w:rFonts w:ascii="Cambria Math" w:hAnsi="Cambria Math"/>
                    <w:i/>
                    <w:sz w:val="24"/>
                  </w:rPr>
                </m:ctrlPr>
              </m:sSubPr>
              <m:e>
                <m:r>
                  <w:rPr>
                    <w:rFonts w:ascii="Cambria Math" w:hAnsi="Cambria Math"/>
                    <w:sz w:val="24"/>
                  </w:rPr>
                  <m:t>y</m:t>
                </m:r>
                <m:ctrlPr>
                  <w:rPr>
                    <w:rFonts w:ascii="Cambria Math" w:hAnsi="Cambria Math"/>
                    <w:i/>
                    <w:sz w:val="24"/>
                  </w:rPr>
                </m:ctrlPr>
              </m:e>
              <m:sub>
                <m:r>
                  <w:rPr>
                    <w:rFonts w:ascii="Cambria Math" w:hAnsi="Cambria Math"/>
                    <w:sz w:val="24"/>
                  </w:rPr>
                  <m:t>i</m:t>
                </m:r>
                <m:ctrlPr>
                  <w:rPr>
                    <w:rFonts w:ascii="Cambria Math" w:hAnsi="Cambria Math"/>
                    <w:i/>
                    <w:sz w:val="24"/>
                  </w:rPr>
                </m:ctrlPr>
              </m:sub>
            </m:sSub>
            <m:ctrlPr>
              <w:rPr>
                <w:rFonts w:ascii="Cambria Math" w:hAnsi="Cambria Math"/>
                <w:i/>
                <w:sz w:val="24"/>
              </w:rPr>
            </m:ctrlPr>
          </m:e>
        </m:d>
        <m:r>
          <w:rPr>
            <w:rFonts w:ascii="Cambria Math" w:hAnsi="Cambria Math"/>
            <w:sz w:val="24"/>
          </w:rPr>
          <m:t>×0.6</m:t>
        </m:r>
      </m:oMath>
      <w:r>
        <w:rPr>
          <w:rFonts w:hint="eastAsia" w:ascii="Times New Roman" w:hAnsi="Times New Roman"/>
          <w:sz w:val="24"/>
        </w:rPr>
        <w:t>。</w:t>
      </w:r>
    </w:p>
    <w:p>
      <w:pPr>
        <w:spacing w:line="400" w:lineRule="exact"/>
        <w:ind w:firstLine="480" w:firstLineChars="200"/>
        <w:rPr>
          <w:rFonts w:ascii="宋体" w:hAnsi="宋体"/>
          <w:sz w:val="24"/>
        </w:rPr>
      </w:pPr>
      <w:r>
        <w:rPr>
          <w:rFonts w:hint="eastAsia" w:ascii="宋体" w:hAnsi="宋体"/>
          <w:sz w:val="24"/>
        </w:rPr>
        <w:t>项目评审过程中，不得去掉所有报价中的最高报价和最低报价。</w:t>
      </w:r>
    </w:p>
    <w:p>
      <w:pPr>
        <w:spacing w:line="400" w:lineRule="exact"/>
        <w:rPr>
          <w:rFonts w:ascii="宋体" w:hAnsi="宋体"/>
          <w:b/>
          <w:bCs/>
          <w:sz w:val="24"/>
        </w:rPr>
      </w:pPr>
      <w:bookmarkStart w:id="10" w:name="OLE_LINK18"/>
      <w:bookmarkStart w:id="11" w:name="OLE_LINK22"/>
      <w:r>
        <w:rPr>
          <w:rFonts w:hint="eastAsia" w:ascii="宋体" w:hAnsi="宋体"/>
          <w:b/>
          <w:bCs/>
          <w:sz w:val="24"/>
        </w:rPr>
        <w:t>（二）综合标                                                 （15分）</w:t>
      </w:r>
    </w:p>
    <w:tbl>
      <w:tblPr>
        <w:tblStyle w:val="13"/>
        <w:tblW w:w="8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900"/>
        <w:gridCol w:w="720"/>
        <w:gridCol w:w="5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720" w:type="dxa"/>
            <w:vMerge w:val="restart"/>
            <w:vAlign w:val="center"/>
          </w:tcPr>
          <w:p>
            <w:pPr>
              <w:rPr>
                <w:rFonts w:ascii="宋体" w:hAnsi="宋体"/>
              </w:rPr>
            </w:pPr>
            <w:r>
              <w:rPr>
                <w:rFonts w:hint="eastAsia" w:ascii="宋体" w:hAnsi="宋体"/>
              </w:rPr>
              <w:t>综合评分因素（15分）</w:t>
            </w:r>
          </w:p>
        </w:tc>
        <w:tc>
          <w:tcPr>
            <w:tcW w:w="720" w:type="dxa"/>
            <w:vMerge w:val="restart"/>
            <w:vAlign w:val="center"/>
          </w:tcPr>
          <w:p>
            <w:pPr>
              <w:rPr>
                <w:rFonts w:ascii="宋体" w:hAnsi="宋体"/>
              </w:rPr>
            </w:pPr>
            <w:r>
              <w:rPr>
                <w:rFonts w:hint="eastAsia" w:ascii="宋体" w:hAnsi="宋体"/>
              </w:rPr>
              <w:t>项目经理</w:t>
            </w:r>
          </w:p>
          <w:p>
            <w:pPr>
              <w:rPr>
                <w:rFonts w:ascii="宋体" w:hAnsi="宋体"/>
              </w:rPr>
            </w:pPr>
            <w:r>
              <w:rPr>
                <w:rFonts w:hint="eastAsia" w:ascii="宋体" w:hAnsi="宋体"/>
              </w:rPr>
              <w:t>资格与业绩</w:t>
            </w:r>
          </w:p>
        </w:tc>
        <w:tc>
          <w:tcPr>
            <w:tcW w:w="900" w:type="dxa"/>
            <w:vAlign w:val="center"/>
          </w:tcPr>
          <w:p>
            <w:pPr>
              <w:rPr>
                <w:rFonts w:ascii="宋体" w:hAnsi="宋体"/>
              </w:rPr>
            </w:pPr>
            <w:r>
              <w:rPr>
                <w:rFonts w:hint="eastAsia" w:ascii="宋体" w:hAnsi="宋体"/>
                <w:szCs w:val="44"/>
              </w:rPr>
              <w:t>职称</w:t>
            </w:r>
          </w:p>
        </w:tc>
        <w:tc>
          <w:tcPr>
            <w:tcW w:w="720" w:type="dxa"/>
            <w:vAlign w:val="center"/>
          </w:tcPr>
          <w:p>
            <w:pPr>
              <w:jc w:val="center"/>
              <w:rPr>
                <w:rFonts w:ascii="宋体" w:hAnsi="宋体"/>
              </w:rPr>
            </w:pPr>
            <w:r>
              <w:rPr>
                <w:rFonts w:hint="eastAsia" w:ascii="宋体" w:hAnsi="宋体"/>
                <w:szCs w:val="44"/>
              </w:rPr>
              <w:t>1分</w:t>
            </w:r>
          </w:p>
        </w:tc>
        <w:tc>
          <w:tcPr>
            <w:tcW w:w="5832" w:type="dxa"/>
            <w:vAlign w:val="center"/>
          </w:tcPr>
          <w:p>
            <w:pPr>
              <w:rPr>
                <w:rFonts w:ascii="宋体" w:hAnsi="宋体"/>
              </w:rPr>
            </w:pPr>
            <w:r>
              <w:rPr>
                <w:rFonts w:hint="eastAsia" w:ascii="宋体" w:hAnsi="宋体"/>
              </w:rPr>
              <w:t>高级工程师及以上1分；</w:t>
            </w:r>
          </w:p>
          <w:p>
            <w:pPr>
              <w:rPr>
                <w:rFonts w:ascii="宋体" w:hAnsi="宋体"/>
              </w:rPr>
            </w:pPr>
            <w:r>
              <w:rPr>
                <w:rFonts w:hint="eastAsia" w:ascii="宋体" w:hAnsi="宋体"/>
              </w:rPr>
              <w:t>中级职称0.8分；</w:t>
            </w:r>
          </w:p>
          <w:p>
            <w:pPr>
              <w:rPr>
                <w:rFonts w:ascii="宋体" w:hAnsi="宋体"/>
              </w:rPr>
            </w:pPr>
            <w:r>
              <w:rPr>
                <w:rFonts w:hint="eastAsia" w:ascii="宋体" w:hAnsi="宋体"/>
              </w:rPr>
              <w:t>其他0分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720" w:type="dxa"/>
            <w:vMerge w:val="continue"/>
            <w:vAlign w:val="center"/>
          </w:tcPr>
          <w:p>
            <w:pPr>
              <w:rPr>
                <w:rFonts w:ascii="宋体" w:hAnsi="宋体"/>
              </w:rPr>
            </w:pPr>
          </w:p>
        </w:tc>
        <w:tc>
          <w:tcPr>
            <w:tcW w:w="720" w:type="dxa"/>
            <w:vMerge w:val="continue"/>
            <w:vAlign w:val="center"/>
          </w:tcPr>
          <w:p>
            <w:pPr>
              <w:rPr>
                <w:rFonts w:ascii="宋体" w:hAnsi="宋体"/>
              </w:rPr>
            </w:pPr>
          </w:p>
        </w:tc>
        <w:tc>
          <w:tcPr>
            <w:tcW w:w="900" w:type="dxa"/>
            <w:vAlign w:val="center"/>
          </w:tcPr>
          <w:p>
            <w:pPr>
              <w:rPr>
                <w:rFonts w:ascii="宋体" w:hAnsi="宋体"/>
              </w:rPr>
            </w:pPr>
            <w:r>
              <w:rPr>
                <w:rFonts w:hint="eastAsia" w:ascii="宋体" w:hAnsi="宋体"/>
                <w:szCs w:val="44"/>
              </w:rPr>
              <w:t>学历</w:t>
            </w:r>
          </w:p>
        </w:tc>
        <w:tc>
          <w:tcPr>
            <w:tcW w:w="720" w:type="dxa"/>
            <w:vAlign w:val="center"/>
          </w:tcPr>
          <w:p>
            <w:pPr>
              <w:jc w:val="center"/>
              <w:rPr>
                <w:rFonts w:ascii="宋体" w:hAnsi="宋体"/>
              </w:rPr>
            </w:pPr>
            <w:r>
              <w:rPr>
                <w:rFonts w:hint="eastAsia" w:ascii="宋体" w:hAnsi="宋体"/>
                <w:szCs w:val="44"/>
              </w:rPr>
              <w:t>1分</w:t>
            </w:r>
          </w:p>
        </w:tc>
        <w:tc>
          <w:tcPr>
            <w:tcW w:w="5832" w:type="dxa"/>
            <w:vAlign w:val="center"/>
          </w:tcPr>
          <w:p>
            <w:pPr>
              <w:rPr>
                <w:rFonts w:ascii="宋体" w:hAnsi="宋体"/>
              </w:rPr>
            </w:pPr>
            <w:r>
              <w:rPr>
                <w:rFonts w:hint="eastAsia" w:ascii="宋体" w:hAnsi="宋体"/>
              </w:rPr>
              <w:t>大学本科及以上1分；</w:t>
            </w:r>
          </w:p>
          <w:p>
            <w:pPr>
              <w:rPr>
                <w:rFonts w:ascii="宋体" w:hAnsi="宋体"/>
              </w:rPr>
            </w:pPr>
            <w:r>
              <w:rPr>
                <w:rFonts w:hint="eastAsia" w:ascii="宋体" w:hAnsi="宋体"/>
              </w:rPr>
              <w:t>大学专科0.8分；</w:t>
            </w:r>
          </w:p>
          <w:p>
            <w:pPr>
              <w:rPr>
                <w:rFonts w:ascii="宋体" w:hAnsi="宋体"/>
              </w:rPr>
            </w:pPr>
            <w:r>
              <w:rPr>
                <w:rFonts w:hint="eastAsia" w:ascii="宋体" w:hAnsi="宋体"/>
              </w:rPr>
              <w:t>其他0分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720" w:type="dxa"/>
            <w:vMerge w:val="continue"/>
            <w:vAlign w:val="center"/>
          </w:tcPr>
          <w:p>
            <w:pPr>
              <w:rPr>
                <w:rFonts w:ascii="宋体" w:hAnsi="宋体"/>
              </w:rPr>
            </w:pPr>
          </w:p>
        </w:tc>
        <w:tc>
          <w:tcPr>
            <w:tcW w:w="720" w:type="dxa"/>
            <w:vMerge w:val="continue"/>
            <w:vAlign w:val="center"/>
          </w:tcPr>
          <w:p>
            <w:pPr>
              <w:rPr>
                <w:rFonts w:ascii="宋体" w:hAnsi="宋体"/>
              </w:rPr>
            </w:pPr>
          </w:p>
        </w:tc>
        <w:tc>
          <w:tcPr>
            <w:tcW w:w="900" w:type="dxa"/>
            <w:vAlign w:val="center"/>
          </w:tcPr>
          <w:p>
            <w:pPr>
              <w:rPr>
                <w:rFonts w:ascii="宋体" w:hAnsi="宋体"/>
              </w:rPr>
            </w:pPr>
            <w:r>
              <w:rPr>
                <w:rFonts w:hint="eastAsia" w:ascii="宋体" w:hAnsi="宋体"/>
              </w:rPr>
              <w:t>类似项目业绩</w:t>
            </w:r>
          </w:p>
        </w:tc>
        <w:tc>
          <w:tcPr>
            <w:tcW w:w="720" w:type="dxa"/>
            <w:vAlign w:val="center"/>
          </w:tcPr>
          <w:p>
            <w:pPr>
              <w:jc w:val="center"/>
              <w:rPr>
                <w:rFonts w:ascii="宋体" w:hAnsi="宋体"/>
              </w:rPr>
            </w:pPr>
            <w:r>
              <w:rPr>
                <w:rFonts w:hint="eastAsia" w:ascii="宋体" w:hAnsi="宋体"/>
                <w:szCs w:val="44"/>
              </w:rPr>
              <w:t>2分</w:t>
            </w:r>
          </w:p>
        </w:tc>
        <w:tc>
          <w:tcPr>
            <w:tcW w:w="5832" w:type="dxa"/>
            <w:vAlign w:val="center"/>
          </w:tcPr>
          <w:p>
            <w:pPr>
              <w:rPr>
                <w:rFonts w:ascii="宋体" w:hAnsi="宋体"/>
              </w:rPr>
            </w:pPr>
            <w:r>
              <w:rPr>
                <w:rFonts w:hint="eastAsia" w:ascii="宋体" w:hAnsi="宋体"/>
              </w:rPr>
              <w:t>以项目经理身份主持过1个类似项目得1 分；</w:t>
            </w:r>
          </w:p>
          <w:p>
            <w:pPr>
              <w:rPr>
                <w:rFonts w:ascii="宋体" w:hAnsi="宋体"/>
              </w:rPr>
            </w:pPr>
            <w:r>
              <w:rPr>
                <w:rFonts w:hint="eastAsia" w:ascii="宋体" w:hAnsi="宋体"/>
              </w:rPr>
              <w:t>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720" w:type="dxa"/>
            <w:vMerge w:val="continue"/>
            <w:vAlign w:val="center"/>
          </w:tcPr>
          <w:p>
            <w:pPr>
              <w:rPr>
                <w:rFonts w:ascii="宋体" w:hAnsi="宋体"/>
              </w:rPr>
            </w:pPr>
          </w:p>
        </w:tc>
        <w:tc>
          <w:tcPr>
            <w:tcW w:w="720" w:type="dxa"/>
            <w:vMerge w:val="restart"/>
            <w:vAlign w:val="center"/>
          </w:tcPr>
          <w:p>
            <w:pPr>
              <w:rPr>
                <w:rFonts w:ascii="宋体" w:hAnsi="宋体"/>
              </w:rPr>
            </w:pPr>
            <w:r>
              <w:rPr>
                <w:rFonts w:hint="eastAsia" w:ascii="宋体" w:hAnsi="宋体"/>
              </w:rPr>
              <w:t>技术负责人</w:t>
            </w:r>
          </w:p>
          <w:p>
            <w:pPr>
              <w:rPr>
                <w:rFonts w:ascii="宋体" w:hAnsi="宋体"/>
              </w:rPr>
            </w:pPr>
            <w:r>
              <w:rPr>
                <w:rFonts w:hint="eastAsia" w:ascii="宋体" w:hAnsi="宋体"/>
              </w:rPr>
              <w:t>资格与业绩</w:t>
            </w:r>
          </w:p>
        </w:tc>
        <w:tc>
          <w:tcPr>
            <w:tcW w:w="900" w:type="dxa"/>
            <w:vAlign w:val="center"/>
          </w:tcPr>
          <w:p>
            <w:pPr>
              <w:rPr>
                <w:rFonts w:ascii="宋体" w:hAnsi="宋体"/>
              </w:rPr>
            </w:pPr>
            <w:r>
              <w:rPr>
                <w:rFonts w:hint="eastAsia" w:ascii="宋体" w:hAnsi="宋体"/>
                <w:szCs w:val="44"/>
              </w:rPr>
              <w:t>职称</w:t>
            </w:r>
          </w:p>
        </w:tc>
        <w:tc>
          <w:tcPr>
            <w:tcW w:w="720" w:type="dxa"/>
            <w:vAlign w:val="center"/>
          </w:tcPr>
          <w:p>
            <w:pPr>
              <w:jc w:val="center"/>
              <w:rPr>
                <w:rFonts w:ascii="宋体" w:hAnsi="宋体"/>
              </w:rPr>
            </w:pPr>
            <w:r>
              <w:rPr>
                <w:rFonts w:hint="eastAsia" w:ascii="宋体" w:hAnsi="宋体"/>
                <w:szCs w:val="44"/>
              </w:rPr>
              <w:t>1分</w:t>
            </w:r>
          </w:p>
        </w:tc>
        <w:tc>
          <w:tcPr>
            <w:tcW w:w="5832" w:type="dxa"/>
            <w:vAlign w:val="center"/>
          </w:tcPr>
          <w:p>
            <w:pPr>
              <w:rPr>
                <w:rFonts w:ascii="宋体" w:hAnsi="宋体"/>
              </w:rPr>
            </w:pPr>
            <w:r>
              <w:rPr>
                <w:rFonts w:hint="eastAsia" w:ascii="宋体" w:hAnsi="宋体"/>
              </w:rPr>
              <w:t>高级工程师及以上1分；</w:t>
            </w:r>
          </w:p>
          <w:p>
            <w:pPr>
              <w:rPr>
                <w:rFonts w:ascii="宋体" w:hAnsi="宋体"/>
              </w:rPr>
            </w:pPr>
            <w:r>
              <w:rPr>
                <w:rFonts w:hint="eastAsia" w:ascii="宋体" w:hAnsi="宋体"/>
              </w:rPr>
              <w:t>中级职称或注册类执业资格 0.8分；</w:t>
            </w:r>
          </w:p>
          <w:p>
            <w:pPr>
              <w:rPr>
                <w:rFonts w:ascii="宋体" w:hAnsi="宋体"/>
              </w:rPr>
            </w:pPr>
            <w:r>
              <w:rPr>
                <w:rFonts w:hint="eastAsia" w:ascii="宋体" w:hAnsi="宋体"/>
              </w:rPr>
              <w:t>其他0分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720" w:type="dxa"/>
            <w:vMerge w:val="continue"/>
            <w:vAlign w:val="center"/>
          </w:tcPr>
          <w:p>
            <w:pPr>
              <w:rPr>
                <w:rFonts w:ascii="宋体" w:hAnsi="宋体"/>
              </w:rPr>
            </w:pPr>
          </w:p>
        </w:tc>
        <w:tc>
          <w:tcPr>
            <w:tcW w:w="720" w:type="dxa"/>
            <w:vMerge w:val="continue"/>
            <w:vAlign w:val="center"/>
          </w:tcPr>
          <w:p>
            <w:pPr>
              <w:rPr>
                <w:rFonts w:ascii="宋体" w:hAnsi="宋体"/>
              </w:rPr>
            </w:pPr>
          </w:p>
        </w:tc>
        <w:tc>
          <w:tcPr>
            <w:tcW w:w="900" w:type="dxa"/>
            <w:vAlign w:val="center"/>
          </w:tcPr>
          <w:p>
            <w:pPr>
              <w:rPr>
                <w:rFonts w:ascii="宋体" w:hAnsi="宋体"/>
              </w:rPr>
            </w:pPr>
            <w:r>
              <w:rPr>
                <w:rFonts w:hint="eastAsia" w:ascii="宋体" w:hAnsi="宋体"/>
                <w:szCs w:val="44"/>
              </w:rPr>
              <w:t>学历</w:t>
            </w:r>
          </w:p>
        </w:tc>
        <w:tc>
          <w:tcPr>
            <w:tcW w:w="720" w:type="dxa"/>
            <w:vAlign w:val="center"/>
          </w:tcPr>
          <w:p>
            <w:pPr>
              <w:jc w:val="center"/>
              <w:rPr>
                <w:rFonts w:ascii="宋体" w:hAnsi="宋体"/>
              </w:rPr>
            </w:pPr>
            <w:r>
              <w:rPr>
                <w:rFonts w:hint="eastAsia" w:ascii="宋体" w:hAnsi="宋体"/>
                <w:szCs w:val="44"/>
              </w:rPr>
              <w:t>1分</w:t>
            </w:r>
          </w:p>
        </w:tc>
        <w:tc>
          <w:tcPr>
            <w:tcW w:w="5832" w:type="dxa"/>
            <w:vAlign w:val="center"/>
          </w:tcPr>
          <w:p>
            <w:pPr>
              <w:rPr>
                <w:rFonts w:ascii="宋体" w:hAnsi="宋体"/>
              </w:rPr>
            </w:pPr>
            <w:r>
              <w:rPr>
                <w:rFonts w:hint="eastAsia" w:ascii="宋体" w:hAnsi="宋体"/>
              </w:rPr>
              <w:t>大学本科及以上1分；</w:t>
            </w:r>
          </w:p>
          <w:p>
            <w:pPr>
              <w:rPr>
                <w:rFonts w:ascii="宋体" w:hAnsi="宋体"/>
              </w:rPr>
            </w:pPr>
            <w:r>
              <w:rPr>
                <w:rFonts w:hint="eastAsia" w:ascii="宋体" w:hAnsi="宋体"/>
              </w:rPr>
              <w:t>大学专科0.8分；</w:t>
            </w:r>
          </w:p>
          <w:p>
            <w:pPr>
              <w:rPr>
                <w:rFonts w:ascii="宋体" w:hAnsi="宋体"/>
              </w:rPr>
            </w:pPr>
            <w:r>
              <w:rPr>
                <w:rFonts w:hint="eastAsia" w:ascii="宋体" w:hAnsi="宋体"/>
              </w:rPr>
              <w:t>其他0分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720" w:type="dxa"/>
            <w:vMerge w:val="continue"/>
            <w:vAlign w:val="center"/>
          </w:tcPr>
          <w:p>
            <w:pPr>
              <w:rPr>
                <w:rFonts w:ascii="宋体" w:hAnsi="宋体"/>
              </w:rPr>
            </w:pPr>
          </w:p>
        </w:tc>
        <w:tc>
          <w:tcPr>
            <w:tcW w:w="720" w:type="dxa"/>
            <w:vMerge w:val="continue"/>
            <w:vAlign w:val="center"/>
          </w:tcPr>
          <w:p>
            <w:pPr>
              <w:rPr>
                <w:rFonts w:ascii="宋体" w:hAnsi="宋体"/>
              </w:rPr>
            </w:pPr>
          </w:p>
        </w:tc>
        <w:tc>
          <w:tcPr>
            <w:tcW w:w="900" w:type="dxa"/>
            <w:vAlign w:val="center"/>
          </w:tcPr>
          <w:p>
            <w:pPr>
              <w:rPr>
                <w:rFonts w:ascii="宋体" w:hAnsi="宋体"/>
              </w:rPr>
            </w:pPr>
            <w:r>
              <w:rPr>
                <w:rFonts w:hint="eastAsia" w:ascii="宋体" w:hAnsi="宋体"/>
              </w:rPr>
              <w:t>从事专业工作年限</w:t>
            </w:r>
          </w:p>
        </w:tc>
        <w:tc>
          <w:tcPr>
            <w:tcW w:w="720" w:type="dxa"/>
            <w:vAlign w:val="center"/>
          </w:tcPr>
          <w:p>
            <w:pPr>
              <w:jc w:val="center"/>
              <w:rPr>
                <w:rFonts w:ascii="宋体" w:hAnsi="宋体"/>
              </w:rPr>
            </w:pPr>
            <w:r>
              <w:rPr>
                <w:rFonts w:hint="eastAsia" w:ascii="宋体" w:hAnsi="宋体"/>
                <w:szCs w:val="44"/>
              </w:rPr>
              <w:t>1分</w:t>
            </w:r>
          </w:p>
        </w:tc>
        <w:tc>
          <w:tcPr>
            <w:tcW w:w="5832" w:type="dxa"/>
            <w:vAlign w:val="center"/>
          </w:tcPr>
          <w:p>
            <w:pPr>
              <w:rPr>
                <w:rFonts w:ascii="宋体" w:hAnsi="宋体"/>
              </w:rPr>
            </w:pPr>
            <w:r>
              <w:rPr>
                <w:rFonts w:hint="eastAsia" w:ascii="宋体" w:hAnsi="宋体"/>
                <w:szCs w:val="44"/>
              </w:rPr>
              <w:t>10年及以上1</w:t>
            </w:r>
            <w:r>
              <w:rPr>
                <w:rFonts w:hint="eastAsia" w:ascii="宋体" w:hAnsi="宋体"/>
              </w:rPr>
              <w:t>分；</w:t>
            </w:r>
          </w:p>
          <w:p>
            <w:pPr>
              <w:rPr>
                <w:rFonts w:ascii="宋体" w:hAnsi="宋体"/>
              </w:rPr>
            </w:pPr>
            <w:r>
              <w:rPr>
                <w:rFonts w:hint="eastAsia" w:ascii="宋体" w:hAnsi="宋体"/>
                <w:szCs w:val="44"/>
              </w:rPr>
              <w:t>5年-9年0.8</w:t>
            </w:r>
            <w:r>
              <w:rPr>
                <w:rFonts w:hint="eastAsia" w:ascii="宋体" w:hAnsi="宋体"/>
              </w:rPr>
              <w:t>分；</w:t>
            </w:r>
          </w:p>
          <w:p>
            <w:pPr>
              <w:rPr>
                <w:rFonts w:ascii="宋体" w:hAnsi="宋体"/>
              </w:rPr>
            </w:pPr>
            <w:r>
              <w:rPr>
                <w:rFonts w:hint="eastAsia" w:ascii="宋体" w:hAnsi="宋体"/>
                <w:szCs w:val="44"/>
              </w:rPr>
              <w:t>4年-2年0.6</w:t>
            </w:r>
            <w:r>
              <w:rPr>
                <w:rFonts w:hint="eastAsia" w:ascii="宋体" w:hAnsi="宋体"/>
              </w:rPr>
              <w:t>分；</w:t>
            </w:r>
          </w:p>
          <w:p>
            <w:pPr>
              <w:rPr>
                <w:rFonts w:ascii="宋体" w:hAnsi="宋体"/>
                <w:szCs w:val="44"/>
              </w:rPr>
            </w:pPr>
            <w:r>
              <w:rPr>
                <w:rFonts w:hint="eastAsia" w:ascii="宋体" w:hAnsi="宋体"/>
                <w:szCs w:val="44"/>
              </w:rPr>
              <w:t>不足2年0</w:t>
            </w:r>
            <w:r>
              <w:rPr>
                <w:rFonts w:hint="eastAsia"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trPr>
        <w:tc>
          <w:tcPr>
            <w:tcW w:w="720" w:type="dxa"/>
            <w:vMerge w:val="continue"/>
            <w:vAlign w:val="center"/>
          </w:tcPr>
          <w:p>
            <w:pPr>
              <w:rPr>
                <w:rFonts w:ascii="宋体" w:hAnsi="宋体"/>
              </w:rPr>
            </w:pPr>
          </w:p>
        </w:tc>
        <w:tc>
          <w:tcPr>
            <w:tcW w:w="1620" w:type="dxa"/>
            <w:gridSpan w:val="2"/>
            <w:vAlign w:val="center"/>
          </w:tcPr>
          <w:p>
            <w:pPr>
              <w:rPr>
                <w:rFonts w:ascii="宋体" w:hAnsi="宋体"/>
              </w:rPr>
            </w:pPr>
            <w:r>
              <w:rPr>
                <w:rFonts w:hint="eastAsia" w:ascii="宋体" w:hAnsi="宋体"/>
              </w:rPr>
              <w:t>其他主要人员</w:t>
            </w:r>
          </w:p>
        </w:tc>
        <w:tc>
          <w:tcPr>
            <w:tcW w:w="720" w:type="dxa"/>
            <w:vAlign w:val="center"/>
          </w:tcPr>
          <w:p>
            <w:pPr>
              <w:jc w:val="center"/>
              <w:rPr>
                <w:rFonts w:ascii="宋体" w:hAnsi="宋体"/>
              </w:rPr>
            </w:pPr>
            <w:r>
              <w:rPr>
                <w:rFonts w:hint="eastAsia" w:ascii="宋体" w:hAnsi="宋体"/>
                <w:szCs w:val="44"/>
              </w:rPr>
              <w:t>2分</w:t>
            </w:r>
          </w:p>
        </w:tc>
        <w:tc>
          <w:tcPr>
            <w:tcW w:w="5832" w:type="dxa"/>
            <w:vAlign w:val="center"/>
          </w:tcPr>
          <w:p>
            <w:pPr>
              <w:rPr>
                <w:rFonts w:ascii="宋体" w:hAnsi="宋体"/>
              </w:rPr>
            </w:pPr>
            <w:r>
              <w:rPr>
                <w:rFonts w:hint="eastAsia" w:ascii="宋体" w:hAnsi="宋体"/>
              </w:rPr>
              <w:t>人员配备合理，满足需要：2分；</w:t>
            </w:r>
          </w:p>
          <w:p>
            <w:pPr>
              <w:rPr>
                <w:rFonts w:ascii="宋体" w:hAnsi="宋体"/>
              </w:rPr>
            </w:pPr>
            <w:r>
              <w:rPr>
                <w:rFonts w:hint="eastAsia" w:ascii="宋体" w:hAnsi="宋体"/>
              </w:rPr>
              <w:t>人员配备基本合理,基本满足需要1分；</w:t>
            </w:r>
          </w:p>
          <w:p>
            <w:pPr>
              <w:rPr>
                <w:rFonts w:ascii="宋体" w:hAnsi="宋体"/>
              </w:rPr>
            </w:pPr>
            <w:r>
              <w:rPr>
                <w:rFonts w:hint="eastAsia" w:ascii="宋体" w:hAnsi="宋体"/>
              </w:rPr>
              <w:t>人员配备不合理：0分。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 w:hRule="atLeast"/>
        </w:trPr>
        <w:tc>
          <w:tcPr>
            <w:tcW w:w="720" w:type="dxa"/>
            <w:vMerge w:val="continue"/>
            <w:vAlign w:val="center"/>
          </w:tcPr>
          <w:p/>
        </w:tc>
        <w:tc>
          <w:tcPr>
            <w:tcW w:w="1620" w:type="dxa"/>
            <w:gridSpan w:val="2"/>
            <w:vAlign w:val="center"/>
          </w:tcPr>
          <w:p>
            <w:r>
              <w:rPr>
                <w:rFonts w:hint="eastAsia"/>
              </w:rPr>
              <w:t>类似项目业绩</w:t>
            </w:r>
          </w:p>
        </w:tc>
        <w:tc>
          <w:tcPr>
            <w:tcW w:w="720" w:type="dxa"/>
            <w:vAlign w:val="center"/>
          </w:tcPr>
          <w:p>
            <w:pPr>
              <w:jc w:val="center"/>
              <w:rPr>
                <w:rFonts w:ascii="宋体" w:hAnsi="宋体"/>
                <w:szCs w:val="44"/>
              </w:rPr>
            </w:pPr>
            <w:r>
              <w:rPr>
                <w:rFonts w:hint="eastAsia" w:ascii="宋体" w:hAnsi="宋体"/>
                <w:szCs w:val="44"/>
              </w:rPr>
              <w:t>6分</w:t>
            </w:r>
          </w:p>
        </w:tc>
        <w:tc>
          <w:tcPr>
            <w:tcW w:w="5832" w:type="dxa"/>
            <w:vAlign w:val="center"/>
          </w:tcPr>
          <w:p>
            <w:pPr>
              <w:rPr>
                <w:rFonts w:ascii="宋体" w:hAnsi="宋体"/>
              </w:rPr>
            </w:pPr>
            <w:r>
              <w:rPr>
                <w:rFonts w:hint="eastAsia" w:ascii="宋体" w:hAnsi="宋体"/>
              </w:rPr>
              <w:t>近3年无类似项目业绩，0分；</w:t>
            </w:r>
          </w:p>
          <w:p>
            <w:pPr>
              <w:rPr>
                <w:rFonts w:ascii="宋体" w:hAnsi="宋体"/>
              </w:rPr>
            </w:pPr>
            <w:r>
              <w:rPr>
                <w:rFonts w:hint="eastAsia" w:ascii="宋体" w:hAnsi="宋体"/>
              </w:rPr>
              <w:t>近3年有1个类似项目业绩，2分；</w:t>
            </w:r>
          </w:p>
          <w:p>
            <w:pPr>
              <w:rPr>
                <w:rFonts w:ascii="宋体" w:hAnsi="宋体"/>
              </w:rPr>
            </w:pPr>
            <w:r>
              <w:rPr>
                <w:rFonts w:hint="eastAsia" w:ascii="宋体" w:hAnsi="宋体"/>
              </w:rPr>
              <w:t>每多一个类似项目业绩加2分，最高得6分。　</w:t>
            </w:r>
          </w:p>
        </w:tc>
      </w:tr>
      <w:bookmarkEnd w:id="10"/>
    </w:tbl>
    <w:p>
      <w:pPr>
        <w:spacing w:line="400" w:lineRule="exact"/>
        <w:rPr>
          <w:rFonts w:ascii="宋体" w:hAnsi="宋体" w:cs="宋体"/>
          <w:b/>
          <w:bCs/>
          <w:sz w:val="24"/>
        </w:rPr>
      </w:pPr>
      <w:r>
        <w:rPr>
          <w:rFonts w:hint="eastAsia" w:ascii="宋体" w:hAnsi="宋体" w:cs="宋体"/>
          <w:b/>
          <w:bCs/>
          <w:sz w:val="24"/>
        </w:rPr>
        <w:t>（三）技术标：针对本项目的施工组织设计方案                     （25分）</w:t>
      </w:r>
    </w:p>
    <w:p>
      <w:pPr>
        <w:spacing w:line="400" w:lineRule="exact"/>
        <w:rPr>
          <w:rFonts w:ascii="宋体" w:hAnsi="宋体" w:cs="宋体"/>
          <w:sz w:val="24"/>
        </w:rPr>
      </w:pPr>
      <w:r>
        <w:rPr>
          <w:rFonts w:hint="eastAsia" w:ascii="宋体" w:hAnsi="宋体" w:cs="宋体"/>
          <w:sz w:val="24"/>
        </w:rPr>
        <w:t xml:space="preserve"> </w:t>
      </w:r>
    </w:p>
    <w:tbl>
      <w:tblPr>
        <w:tblStyle w:val="13"/>
        <w:tblW w:w="8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720"/>
        <w:gridCol w:w="5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restart"/>
            <w:vAlign w:val="center"/>
          </w:tcPr>
          <w:p>
            <w:pPr>
              <w:rPr>
                <w:rFonts w:ascii="宋体" w:hAnsi="宋体"/>
              </w:rPr>
            </w:pPr>
            <w:r>
              <w:rPr>
                <w:rFonts w:hint="eastAsia" w:ascii="宋体" w:hAnsi="宋体"/>
              </w:rPr>
              <w:t>工程概况</w:t>
            </w:r>
          </w:p>
        </w:tc>
        <w:tc>
          <w:tcPr>
            <w:tcW w:w="720" w:type="dxa"/>
            <w:vMerge w:val="restart"/>
            <w:vAlign w:val="center"/>
          </w:tcPr>
          <w:p>
            <w:pPr>
              <w:rPr>
                <w:rFonts w:ascii="宋体" w:hAnsi="宋体"/>
              </w:rPr>
            </w:pPr>
            <w:r>
              <w:rPr>
                <w:rFonts w:hint="eastAsia" w:ascii="宋体" w:hAnsi="宋体"/>
                <w:szCs w:val="44"/>
              </w:rPr>
              <w:t>2</w:t>
            </w:r>
            <w:r>
              <w:rPr>
                <w:rFonts w:hint="eastAsia" w:ascii="宋体" w:hAnsi="宋体"/>
                <w:bCs/>
              </w:rPr>
              <w:t>分</w:t>
            </w:r>
          </w:p>
        </w:tc>
        <w:tc>
          <w:tcPr>
            <w:tcW w:w="5832" w:type="dxa"/>
            <w:vAlign w:val="center"/>
          </w:tcPr>
          <w:p>
            <w:pPr>
              <w:rPr>
                <w:rFonts w:ascii="宋体" w:hAnsi="宋体"/>
                <w:bCs/>
              </w:rPr>
            </w:pPr>
            <w:r>
              <w:rPr>
                <w:rFonts w:hint="eastAsia" w:ascii="宋体" w:hAnsi="宋体"/>
                <w:bCs/>
              </w:rPr>
              <w:t>描述准确、清晰                  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rPr>
            </w:pPr>
          </w:p>
        </w:tc>
        <w:tc>
          <w:tcPr>
            <w:tcW w:w="720" w:type="dxa"/>
            <w:vMerge w:val="continue"/>
            <w:vAlign w:val="center"/>
          </w:tcPr>
          <w:p>
            <w:pPr>
              <w:rPr>
                <w:rFonts w:ascii="宋体" w:hAnsi="宋体"/>
                <w:bCs/>
              </w:rPr>
            </w:pPr>
          </w:p>
        </w:tc>
        <w:tc>
          <w:tcPr>
            <w:tcW w:w="5832" w:type="dxa"/>
            <w:vAlign w:val="center"/>
          </w:tcPr>
          <w:p>
            <w:pPr>
              <w:rPr>
                <w:rFonts w:ascii="宋体" w:hAnsi="宋体"/>
                <w:bCs/>
              </w:rPr>
            </w:pPr>
            <w:r>
              <w:rPr>
                <w:rFonts w:hint="eastAsia" w:ascii="宋体" w:hAnsi="宋体"/>
                <w:bCs/>
              </w:rPr>
              <w:t>描述基本准确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rPr>
            </w:pPr>
          </w:p>
        </w:tc>
        <w:tc>
          <w:tcPr>
            <w:tcW w:w="720" w:type="dxa"/>
            <w:vMerge w:val="continue"/>
            <w:vAlign w:val="center"/>
          </w:tcPr>
          <w:p>
            <w:pPr>
              <w:rPr>
                <w:rFonts w:ascii="宋体" w:hAnsi="宋体"/>
                <w:bCs/>
              </w:rPr>
            </w:pPr>
          </w:p>
        </w:tc>
        <w:tc>
          <w:tcPr>
            <w:tcW w:w="5832" w:type="dxa"/>
            <w:vAlign w:val="center"/>
          </w:tcPr>
          <w:p>
            <w:pPr>
              <w:rPr>
                <w:rFonts w:ascii="宋体" w:hAnsi="宋体"/>
                <w:bCs/>
              </w:rPr>
            </w:pPr>
            <w:r>
              <w:rPr>
                <w:rFonts w:hint="eastAsia" w:ascii="宋体" w:hAnsi="宋体"/>
                <w:bCs/>
              </w:rPr>
              <w:t>描述不准确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restart"/>
            <w:vAlign w:val="center"/>
          </w:tcPr>
          <w:p>
            <w:pPr>
              <w:rPr>
                <w:rFonts w:ascii="宋体" w:hAnsi="宋体"/>
              </w:rPr>
            </w:pPr>
            <w:r>
              <w:rPr>
                <w:rFonts w:hint="eastAsia" w:ascii="宋体" w:hAnsi="宋体"/>
              </w:rPr>
              <w:t>施工部署</w:t>
            </w:r>
          </w:p>
        </w:tc>
        <w:tc>
          <w:tcPr>
            <w:tcW w:w="720" w:type="dxa"/>
            <w:vMerge w:val="restart"/>
            <w:vAlign w:val="center"/>
          </w:tcPr>
          <w:p>
            <w:pPr>
              <w:rPr>
                <w:rFonts w:ascii="宋体" w:hAnsi="宋体"/>
              </w:rPr>
            </w:pPr>
            <w:r>
              <w:rPr>
                <w:rFonts w:hint="eastAsia" w:ascii="宋体" w:hAnsi="宋体"/>
                <w:szCs w:val="44"/>
              </w:rPr>
              <w:t>3</w:t>
            </w:r>
            <w:r>
              <w:rPr>
                <w:rFonts w:hint="eastAsia" w:ascii="宋体" w:hAnsi="宋体"/>
                <w:bCs/>
              </w:rPr>
              <w:t>分</w:t>
            </w:r>
          </w:p>
        </w:tc>
        <w:tc>
          <w:tcPr>
            <w:tcW w:w="5832" w:type="dxa"/>
            <w:vAlign w:val="center"/>
          </w:tcPr>
          <w:p>
            <w:pPr>
              <w:rPr>
                <w:rFonts w:ascii="宋体" w:hAnsi="宋体"/>
                <w:bCs/>
              </w:rPr>
            </w:pPr>
            <w:r>
              <w:rPr>
                <w:rFonts w:ascii="宋体" w:hAnsi="宋体"/>
                <w:bCs/>
              </w:rPr>
              <w:t>科学、</w:t>
            </w:r>
            <w:r>
              <w:rPr>
                <w:rFonts w:hint="eastAsia" w:ascii="宋体" w:hAnsi="宋体"/>
                <w:bCs/>
              </w:rPr>
              <w:t>合理</w:t>
            </w:r>
            <w:r>
              <w:rPr>
                <w:rFonts w:ascii="宋体" w:hAnsi="宋体"/>
                <w:bCs/>
              </w:rPr>
              <w:t>、针对性强</w:t>
            </w:r>
            <w:r>
              <w:rPr>
                <w:rFonts w:hint="eastAsia" w:ascii="宋体" w:hAnsi="宋体"/>
                <w:bCs/>
              </w:rPr>
              <w:t xml:space="preserve">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szCs w:val="44"/>
              </w:rPr>
            </w:pPr>
          </w:p>
        </w:tc>
        <w:tc>
          <w:tcPr>
            <w:tcW w:w="720" w:type="dxa"/>
            <w:vMerge w:val="continue"/>
            <w:vAlign w:val="center"/>
          </w:tcPr>
          <w:p>
            <w:pPr>
              <w:rPr>
                <w:rFonts w:ascii="宋体" w:hAnsi="宋体"/>
                <w:bCs/>
              </w:rPr>
            </w:pPr>
          </w:p>
        </w:tc>
        <w:tc>
          <w:tcPr>
            <w:tcW w:w="5832" w:type="dxa"/>
            <w:vAlign w:val="center"/>
          </w:tcPr>
          <w:p>
            <w:pPr>
              <w:rPr>
                <w:rFonts w:ascii="宋体" w:hAnsi="宋体"/>
                <w:bCs/>
              </w:rPr>
            </w:pPr>
            <w:r>
              <w:rPr>
                <w:rFonts w:ascii="宋体" w:hAnsi="宋体"/>
                <w:bCs/>
              </w:rPr>
              <w:t>合理、可行</w:t>
            </w:r>
            <w:r>
              <w:rPr>
                <w:rFonts w:hint="eastAsia" w:ascii="宋体" w:hAnsi="宋体"/>
                <w:bCs/>
              </w:rPr>
              <w:t xml:space="preserve">                      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szCs w:val="44"/>
              </w:rPr>
            </w:pPr>
          </w:p>
        </w:tc>
        <w:tc>
          <w:tcPr>
            <w:tcW w:w="720" w:type="dxa"/>
            <w:vMerge w:val="continue"/>
            <w:vAlign w:val="center"/>
          </w:tcPr>
          <w:p>
            <w:pPr>
              <w:rPr>
                <w:rFonts w:ascii="宋体" w:hAnsi="宋体"/>
                <w:bCs/>
              </w:rPr>
            </w:pPr>
          </w:p>
        </w:tc>
        <w:tc>
          <w:tcPr>
            <w:tcW w:w="5832" w:type="dxa"/>
            <w:vAlign w:val="center"/>
          </w:tcPr>
          <w:p>
            <w:pPr>
              <w:rPr>
                <w:rFonts w:ascii="宋体" w:hAnsi="宋体"/>
                <w:bCs/>
              </w:rPr>
            </w:pPr>
            <w:r>
              <w:rPr>
                <w:rFonts w:ascii="宋体" w:hAnsi="宋体"/>
                <w:bCs/>
              </w:rPr>
              <w:t>欠合理，</w:t>
            </w:r>
            <w:r>
              <w:rPr>
                <w:rFonts w:hint="eastAsia" w:ascii="宋体" w:hAnsi="宋体"/>
                <w:bCs/>
              </w:rPr>
              <w:t>基本</w:t>
            </w:r>
            <w:r>
              <w:rPr>
                <w:rFonts w:ascii="宋体" w:hAnsi="宋体"/>
                <w:bCs/>
              </w:rPr>
              <w:t>可行</w:t>
            </w:r>
            <w:r>
              <w:rPr>
                <w:rFonts w:hint="eastAsia" w:ascii="宋体" w:hAnsi="宋体"/>
                <w:bCs/>
              </w:rPr>
              <w:t xml:space="preserve">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szCs w:val="44"/>
              </w:rPr>
            </w:pPr>
          </w:p>
        </w:tc>
        <w:tc>
          <w:tcPr>
            <w:tcW w:w="720" w:type="dxa"/>
            <w:vMerge w:val="continue"/>
            <w:vAlign w:val="center"/>
          </w:tcPr>
          <w:p>
            <w:pPr>
              <w:rPr>
                <w:rFonts w:ascii="宋体" w:hAnsi="宋体"/>
                <w:bCs/>
              </w:rPr>
            </w:pPr>
          </w:p>
        </w:tc>
        <w:tc>
          <w:tcPr>
            <w:tcW w:w="5832" w:type="dxa"/>
            <w:vAlign w:val="center"/>
          </w:tcPr>
          <w:p>
            <w:pPr>
              <w:rPr>
                <w:rFonts w:ascii="宋体" w:hAnsi="宋体"/>
                <w:bCs/>
              </w:rPr>
            </w:pPr>
            <w:r>
              <w:rPr>
                <w:rFonts w:hint="eastAsia" w:ascii="宋体" w:hAnsi="宋体"/>
                <w:bCs/>
              </w:rPr>
              <w:t>不</w:t>
            </w:r>
            <w:r>
              <w:rPr>
                <w:rFonts w:ascii="宋体" w:hAnsi="宋体"/>
                <w:bCs/>
              </w:rPr>
              <w:t>可行，</w:t>
            </w:r>
            <w:r>
              <w:rPr>
                <w:rFonts w:hint="eastAsia" w:ascii="宋体" w:hAnsi="宋体"/>
                <w:bCs/>
              </w:rPr>
              <w:t>不能</w:t>
            </w:r>
            <w:r>
              <w:rPr>
                <w:rFonts w:ascii="宋体" w:hAnsi="宋体"/>
                <w:bCs/>
              </w:rPr>
              <w:t>满足工程</w:t>
            </w:r>
            <w:r>
              <w:rPr>
                <w:rFonts w:hint="eastAsia" w:ascii="宋体" w:hAnsi="宋体"/>
                <w:bCs/>
              </w:rPr>
              <w:t>需要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restart"/>
            <w:vAlign w:val="center"/>
          </w:tcPr>
          <w:p>
            <w:pPr>
              <w:rPr>
                <w:rFonts w:ascii="宋体" w:hAnsi="宋体"/>
              </w:rPr>
            </w:pPr>
            <w:r>
              <w:rPr>
                <w:rFonts w:hint="eastAsia" w:ascii="宋体" w:hAnsi="宋体"/>
              </w:rPr>
              <w:t>施工进度计划</w:t>
            </w:r>
          </w:p>
        </w:tc>
        <w:tc>
          <w:tcPr>
            <w:tcW w:w="720" w:type="dxa"/>
            <w:vMerge w:val="restart"/>
            <w:vAlign w:val="center"/>
          </w:tcPr>
          <w:p>
            <w:pPr>
              <w:rPr>
                <w:rFonts w:ascii="宋体" w:hAnsi="宋体"/>
              </w:rPr>
            </w:pPr>
            <w:r>
              <w:rPr>
                <w:rFonts w:hint="eastAsia" w:ascii="宋体" w:hAnsi="宋体"/>
                <w:szCs w:val="44"/>
              </w:rPr>
              <w:t>3</w:t>
            </w:r>
            <w:r>
              <w:rPr>
                <w:rFonts w:hint="eastAsia" w:ascii="宋体" w:hAnsi="宋体"/>
                <w:bCs/>
              </w:rPr>
              <w:t>分</w:t>
            </w:r>
          </w:p>
        </w:tc>
        <w:tc>
          <w:tcPr>
            <w:tcW w:w="5832" w:type="dxa"/>
            <w:vAlign w:val="center"/>
          </w:tcPr>
          <w:p>
            <w:pPr>
              <w:rPr>
                <w:rFonts w:ascii="宋体" w:hAnsi="宋体"/>
                <w:bCs/>
              </w:rPr>
            </w:pPr>
            <w:r>
              <w:rPr>
                <w:rFonts w:ascii="宋体" w:hAnsi="宋体"/>
                <w:bCs/>
              </w:rPr>
              <w:t>科学、</w:t>
            </w:r>
            <w:r>
              <w:rPr>
                <w:rFonts w:hint="eastAsia" w:ascii="宋体" w:hAnsi="宋体"/>
                <w:bCs/>
              </w:rPr>
              <w:t>合理</w:t>
            </w:r>
            <w:r>
              <w:rPr>
                <w:rFonts w:ascii="宋体" w:hAnsi="宋体"/>
                <w:bCs/>
              </w:rPr>
              <w:t>、针对性强</w:t>
            </w:r>
            <w:r>
              <w:rPr>
                <w:rFonts w:hint="eastAsia" w:ascii="宋体" w:hAnsi="宋体"/>
                <w:bCs/>
              </w:rPr>
              <w:t xml:space="preserve">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szCs w:val="44"/>
              </w:rPr>
            </w:pPr>
          </w:p>
        </w:tc>
        <w:tc>
          <w:tcPr>
            <w:tcW w:w="720" w:type="dxa"/>
            <w:vMerge w:val="continue"/>
            <w:vAlign w:val="center"/>
          </w:tcPr>
          <w:p>
            <w:pPr>
              <w:rPr>
                <w:rFonts w:ascii="宋体" w:hAnsi="宋体"/>
                <w:bCs/>
              </w:rPr>
            </w:pPr>
          </w:p>
        </w:tc>
        <w:tc>
          <w:tcPr>
            <w:tcW w:w="5832" w:type="dxa"/>
            <w:vAlign w:val="center"/>
          </w:tcPr>
          <w:p>
            <w:pPr>
              <w:rPr>
                <w:rFonts w:ascii="宋体" w:hAnsi="宋体"/>
                <w:bCs/>
              </w:rPr>
            </w:pPr>
            <w:r>
              <w:rPr>
                <w:rFonts w:ascii="宋体" w:hAnsi="宋体"/>
                <w:bCs/>
              </w:rPr>
              <w:t>合理、可行、</w:t>
            </w:r>
            <w:r>
              <w:rPr>
                <w:rFonts w:hint="eastAsia" w:ascii="宋体" w:hAnsi="宋体"/>
                <w:bCs/>
              </w:rPr>
              <w:t xml:space="preserve">                    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szCs w:val="44"/>
              </w:rPr>
            </w:pPr>
          </w:p>
        </w:tc>
        <w:tc>
          <w:tcPr>
            <w:tcW w:w="720" w:type="dxa"/>
            <w:vMerge w:val="continue"/>
            <w:vAlign w:val="center"/>
          </w:tcPr>
          <w:p>
            <w:pPr>
              <w:rPr>
                <w:rFonts w:ascii="宋体" w:hAnsi="宋体"/>
                <w:bCs/>
              </w:rPr>
            </w:pPr>
          </w:p>
        </w:tc>
        <w:tc>
          <w:tcPr>
            <w:tcW w:w="5832" w:type="dxa"/>
            <w:vAlign w:val="center"/>
          </w:tcPr>
          <w:p>
            <w:pPr>
              <w:rPr>
                <w:rFonts w:ascii="宋体" w:hAnsi="宋体"/>
                <w:bCs/>
              </w:rPr>
            </w:pPr>
            <w:r>
              <w:rPr>
                <w:rFonts w:ascii="宋体" w:hAnsi="宋体"/>
                <w:bCs/>
              </w:rPr>
              <w:t>欠合理，</w:t>
            </w:r>
            <w:r>
              <w:rPr>
                <w:rFonts w:hint="eastAsia" w:ascii="宋体" w:hAnsi="宋体"/>
                <w:bCs/>
              </w:rPr>
              <w:t>基本</w:t>
            </w:r>
            <w:r>
              <w:rPr>
                <w:rFonts w:ascii="宋体" w:hAnsi="宋体"/>
                <w:bCs/>
              </w:rPr>
              <w:t>可行</w:t>
            </w:r>
            <w:r>
              <w:rPr>
                <w:rFonts w:hint="eastAsia" w:ascii="宋体" w:hAnsi="宋体"/>
                <w:bCs/>
              </w:rPr>
              <w:t xml:space="preserve">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szCs w:val="44"/>
              </w:rPr>
            </w:pPr>
          </w:p>
        </w:tc>
        <w:tc>
          <w:tcPr>
            <w:tcW w:w="720" w:type="dxa"/>
            <w:vMerge w:val="continue"/>
            <w:vAlign w:val="center"/>
          </w:tcPr>
          <w:p>
            <w:pPr>
              <w:rPr>
                <w:rFonts w:ascii="宋体" w:hAnsi="宋体"/>
                <w:bCs/>
              </w:rPr>
            </w:pPr>
          </w:p>
        </w:tc>
        <w:tc>
          <w:tcPr>
            <w:tcW w:w="5832" w:type="dxa"/>
            <w:vAlign w:val="center"/>
          </w:tcPr>
          <w:p>
            <w:pPr>
              <w:rPr>
                <w:rFonts w:ascii="宋体" w:hAnsi="宋体"/>
                <w:bCs/>
              </w:rPr>
            </w:pPr>
            <w:r>
              <w:rPr>
                <w:rFonts w:hint="eastAsia" w:ascii="宋体" w:hAnsi="宋体"/>
                <w:bCs/>
              </w:rPr>
              <w:t>不</w:t>
            </w:r>
            <w:r>
              <w:rPr>
                <w:rFonts w:ascii="宋体" w:hAnsi="宋体"/>
                <w:bCs/>
              </w:rPr>
              <w:t>可行，</w:t>
            </w:r>
            <w:r>
              <w:rPr>
                <w:rFonts w:hint="eastAsia" w:ascii="宋体" w:hAnsi="宋体"/>
                <w:bCs/>
              </w:rPr>
              <w:t>不能</w:t>
            </w:r>
            <w:r>
              <w:rPr>
                <w:rFonts w:ascii="宋体" w:hAnsi="宋体"/>
                <w:bCs/>
              </w:rPr>
              <w:t>满足</w:t>
            </w:r>
            <w:r>
              <w:rPr>
                <w:rFonts w:hint="eastAsia" w:ascii="宋体" w:hAnsi="宋体"/>
                <w:bCs/>
              </w:rPr>
              <w:t>招标文件要求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restart"/>
            <w:vAlign w:val="center"/>
          </w:tcPr>
          <w:p>
            <w:pPr>
              <w:rPr>
                <w:rFonts w:ascii="宋体" w:hAnsi="宋体"/>
              </w:rPr>
            </w:pPr>
            <w:r>
              <w:rPr>
                <w:rFonts w:hint="eastAsia" w:ascii="宋体" w:hAnsi="宋体"/>
              </w:rPr>
              <w:t>施工准备与</w:t>
            </w:r>
          </w:p>
          <w:p>
            <w:pPr>
              <w:rPr>
                <w:rFonts w:ascii="宋体" w:hAnsi="宋体"/>
              </w:rPr>
            </w:pPr>
            <w:r>
              <w:rPr>
                <w:rFonts w:hint="eastAsia" w:ascii="宋体" w:hAnsi="宋体"/>
              </w:rPr>
              <w:t>资源配置计划</w:t>
            </w:r>
          </w:p>
        </w:tc>
        <w:tc>
          <w:tcPr>
            <w:tcW w:w="720" w:type="dxa"/>
            <w:vMerge w:val="restart"/>
            <w:vAlign w:val="center"/>
          </w:tcPr>
          <w:p>
            <w:pPr>
              <w:rPr>
                <w:rFonts w:ascii="宋体" w:hAnsi="宋体"/>
              </w:rPr>
            </w:pPr>
            <w:r>
              <w:rPr>
                <w:rFonts w:hint="eastAsia" w:ascii="宋体" w:hAnsi="宋体"/>
                <w:szCs w:val="44"/>
              </w:rPr>
              <w:t>3</w:t>
            </w:r>
            <w:r>
              <w:rPr>
                <w:rFonts w:hint="eastAsia" w:ascii="宋体" w:hAnsi="宋体"/>
                <w:bCs/>
              </w:rPr>
              <w:t>分</w:t>
            </w:r>
          </w:p>
        </w:tc>
        <w:tc>
          <w:tcPr>
            <w:tcW w:w="5832" w:type="dxa"/>
            <w:vAlign w:val="center"/>
          </w:tcPr>
          <w:p>
            <w:pPr>
              <w:rPr>
                <w:rFonts w:ascii="宋体" w:hAnsi="宋体"/>
                <w:bCs/>
              </w:rPr>
            </w:pPr>
            <w:r>
              <w:rPr>
                <w:rFonts w:hint="eastAsia" w:ascii="宋体" w:hAnsi="宋体"/>
                <w:szCs w:val="44"/>
              </w:rPr>
              <w:t>内容完备，</w:t>
            </w:r>
            <w:r>
              <w:rPr>
                <w:rFonts w:ascii="宋体" w:hAnsi="宋体"/>
                <w:bCs/>
              </w:rPr>
              <w:t>合理</w:t>
            </w:r>
            <w:r>
              <w:rPr>
                <w:rFonts w:hint="eastAsia" w:ascii="宋体" w:hAnsi="宋体"/>
                <w:bCs/>
              </w:rPr>
              <w:t>、</w:t>
            </w:r>
            <w:r>
              <w:rPr>
                <w:rFonts w:ascii="宋体" w:hAnsi="宋体"/>
                <w:bCs/>
              </w:rPr>
              <w:t>针对性强</w:t>
            </w:r>
            <w:r>
              <w:rPr>
                <w:rFonts w:hint="eastAsia" w:ascii="宋体" w:hAnsi="宋体"/>
                <w:bCs/>
              </w:rPr>
              <w:t xml:space="preserve">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szCs w:val="44"/>
              </w:rPr>
            </w:pPr>
          </w:p>
        </w:tc>
        <w:tc>
          <w:tcPr>
            <w:tcW w:w="720" w:type="dxa"/>
            <w:vMerge w:val="continue"/>
            <w:vAlign w:val="center"/>
          </w:tcPr>
          <w:p>
            <w:pPr>
              <w:rPr>
                <w:rFonts w:ascii="宋体" w:hAnsi="宋体"/>
                <w:bCs/>
              </w:rPr>
            </w:pPr>
          </w:p>
        </w:tc>
        <w:tc>
          <w:tcPr>
            <w:tcW w:w="5832" w:type="dxa"/>
            <w:vAlign w:val="center"/>
          </w:tcPr>
          <w:p>
            <w:pPr>
              <w:rPr>
                <w:rFonts w:ascii="宋体" w:hAnsi="宋体"/>
                <w:bCs/>
              </w:rPr>
            </w:pPr>
            <w:r>
              <w:rPr>
                <w:rFonts w:hint="eastAsia" w:ascii="宋体" w:hAnsi="宋体"/>
                <w:szCs w:val="44"/>
              </w:rPr>
              <w:t>内容完备，</w:t>
            </w:r>
            <w:r>
              <w:rPr>
                <w:rFonts w:ascii="宋体" w:hAnsi="宋体"/>
                <w:bCs/>
              </w:rPr>
              <w:t>可行</w:t>
            </w:r>
            <w:r>
              <w:rPr>
                <w:rFonts w:hint="eastAsia" w:ascii="宋体" w:hAnsi="宋体"/>
                <w:bCs/>
              </w:rPr>
              <w:t xml:space="preserve">                  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szCs w:val="44"/>
              </w:rPr>
            </w:pPr>
          </w:p>
        </w:tc>
        <w:tc>
          <w:tcPr>
            <w:tcW w:w="720" w:type="dxa"/>
            <w:vMerge w:val="continue"/>
            <w:vAlign w:val="center"/>
          </w:tcPr>
          <w:p>
            <w:pPr>
              <w:rPr>
                <w:rFonts w:ascii="宋体" w:hAnsi="宋体"/>
                <w:bCs/>
              </w:rPr>
            </w:pPr>
          </w:p>
        </w:tc>
        <w:tc>
          <w:tcPr>
            <w:tcW w:w="5832" w:type="dxa"/>
            <w:vAlign w:val="center"/>
          </w:tcPr>
          <w:p>
            <w:pPr>
              <w:rPr>
                <w:rFonts w:ascii="宋体" w:hAnsi="宋体"/>
                <w:bCs/>
              </w:rPr>
            </w:pPr>
            <w:r>
              <w:rPr>
                <w:rFonts w:hint="eastAsia" w:ascii="宋体" w:hAnsi="宋体"/>
                <w:szCs w:val="44"/>
              </w:rPr>
              <w:t>内容欠完备，</w:t>
            </w:r>
            <w:r>
              <w:rPr>
                <w:rFonts w:hint="eastAsia" w:ascii="宋体" w:hAnsi="宋体"/>
                <w:bCs/>
              </w:rPr>
              <w:t>基本</w:t>
            </w:r>
            <w:r>
              <w:rPr>
                <w:rFonts w:ascii="宋体" w:hAnsi="宋体"/>
                <w:bCs/>
              </w:rPr>
              <w:t>可行</w:t>
            </w:r>
            <w:r>
              <w:rPr>
                <w:rFonts w:hint="eastAsia" w:ascii="宋体" w:hAnsi="宋体"/>
                <w:bCs/>
              </w:rPr>
              <w:t xml:space="preserve">            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szCs w:val="44"/>
              </w:rPr>
            </w:pPr>
          </w:p>
        </w:tc>
        <w:tc>
          <w:tcPr>
            <w:tcW w:w="720" w:type="dxa"/>
            <w:vMerge w:val="continue"/>
            <w:vAlign w:val="center"/>
          </w:tcPr>
          <w:p>
            <w:pPr>
              <w:rPr>
                <w:rFonts w:ascii="宋体" w:hAnsi="宋体"/>
                <w:szCs w:val="44"/>
              </w:rPr>
            </w:pPr>
          </w:p>
        </w:tc>
        <w:tc>
          <w:tcPr>
            <w:tcW w:w="5832" w:type="dxa"/>
            <w:vAlign w:val="center"/>
          </w:tcPr>
          <w:p>
            <w:pPr>
              <w:rPr>
                <w:rFonts w:ascii="宋体" w:hAnsi="宋体"/>
                <w:szCs w:val="44"/>
              </w:rPr>
            </w:pPr>
            <w:r>
              <w:rPr>
                <w:rFonts w:hint="eastAsia" w:ascii="宋体" w:hAnsi="宋体"/>
                <w:bCs/>
              </w:rPr>
              <w:t>不</w:t>
            </w:r>
            <w:r>
              <w:rPr>
                <w:rFonts w:ascii="宋体" w:hAnsi="宋体"/>
                <w:bCs/>
              </w:rPr>
              <w:t>可行</w:t>
            </w:r>
            <w:r>
              <w:rPr>
                <w:rFonts w:hint="eastAsia" w:ascii="宋体" w:hAnsi="宋体"/>
                <w:bCs/>
              </w:rPr>
              <w:t xml:space="preserve">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restart"/>
            <w:vAlign w:val="center"/>
          </w:tcPr>
          <w:p>
            <w:pPr>
              <w:rPr>
                <w:rFonts w:ascii="宋体" w:hAnsi="宋体"/>
              </w:rPr>
            </w:pPr>
            <w:r>
              <w:rPr>
                <w:rFonts w:hint="eastAsia" w:ascii="宋体" w:hAnsi="宋体"/>
              </w:rPr>
              <w:t>主要施工方案</w:t>
            </w:r>
          </w:p>
        </w:tc>
        <w:tc>
          <w:tcPr>
            <w:tcW w:w="720" w:type="dxa"/>
            <w:vMerge w:val="restart"/>
            <w:vAlign w:val="center"/>
          </w:tcPr>
          <w:p>
            <w:pPr>
              <w:rPr>
                <w:rFonts w:ascii="宋体" w:hAnsi="宋体"/>
              </w:rPr>
            </w:pPr>
            <w:r>
              <w:rPr>
                <w:rFonts w:hint="eastAsia" w:ascii="宋体" w:hAnsi="宋体"/>
                <w:szCs w:val="44"/>
              </w:rPr>
              <w:t>8</w:t>
            </w:r>
            <w:r>
              <w:rPr>
                <w:rFonts w:hint="eastAsia" w:ascii="宋体" w:hAnsi="宋体"/>
                <w:bCs/>
              </w:rPr>
              <w:t>分</w:t>
            </w:r>
          </w:p>
        </w:tc>
        <w:tc>
          <w:tcPr>
            <w:tcW w:w="5832" w:type="dxa"/>
            <w:vAlign w:val="center"/>
          </w:tcPr>
          <w:p>
            <w:pPr>
              <w:rPr>
                <w:rFonts w:ascii="宋体" w:hAnsi="宋体"/>
                <w:bCs/>
              </w:rPr>
            </w:pPr>
            <w:r>
              <w:rPr>
                <w:rFonts w:ascii="宋体" w:hAnsi="宋体"/>
                <w:bCs/>
              </w:rPr>
              <w:t>科学、</w:t>
            </w:r>
            <w:r>
              <w:rPr>
                <w:rFonts w:hint="eastAsia" w:ascii="宋体" w:hAnsi="宋体"/>
                <w:bCs/>
              </w:rPr>
              <w:t>合理</w:t>
            </w:r>
            <w:r>
              <w:rPr>
                <w:rFonts w:ascii="宋体" w:hAnsi="宋体"/>
                <w:bCs/>
              </w:rPr>
              <w:t>、针对性强</w:t>
            </w:r>
            <w:r>
              <w:rPr>
                <w:rFonts w:hint="eastAsia" w:ascii="宋体" w:hAnsi="宋体"/>
                <w:bCs/>
              </w:rPr>
              <w:t xml:space="preserve">          8-7分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szCs w:val="44"/>
              </w:rPr>
            </w:pPr>
          </w:p>
        </w:tc>
        <w:tc>
          <w:tcPr>
            <w:tcW w:w="720" w:type="dxa"/>
            <w:vMerge w:val="continue"/>
            <w:vAlign w:val="center"/>
          </w:tcPr>
          <w:p>
            <w:pPr>
              <w:rPr>
                <w:rFonts w:ascii="宋体" w:hAnsi="宋体"/>
                <w:bCs/>
              </w:rPr>
            </w:pPr>
          </w:p>
        </w:tc>
        <w:tc>
          <w:tcPr>
            <w:tcW w:w="5832" w:type="dxa"/>
            <w:vAlign w:val="center"/>
          </w:tcPr>
          <w:p>
            <w:pPr>
              <w:rPr>
                <w:rFonts w:ascii="宋体" w:hAnsi="宋体"/>
                <w:bCs/>
              </w:rPr>
            </w:pPr>
            <w:r>
              <w:rPr>
                <w:rFonts w:ascii="宋体" w:hAnsi="宋体"/>
                <w:bCs/>
              </w:rPr>
              <w:t>合理、可行</w:t>
            </w:r>
            <w:r>
              <w:rPr>
                <w:rFonts w:hint="eastAsia" w:ascii="宋体" w:hAnsi="宋体"/>
                <w:bCs/>
              </w:rPr>
              <w:t xml:space="preserve">                    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szCs w:val="44"/>
              </w:rPr>
            </w:pPr>
          </w:p>
        </w:tc>
        <w:tc>
          <w:tcPr>
            <w:tcW w:w="720" w:type="dxa"/>
            <w:vMerge w:val="continue"/>
            <w:vAlign w:val="center"/>
          </w:tcPr>
          <w:p>
            <w:pPr>
              <w:rPr>
                <w:rFonts w:ascii="宋体" w:hAnsi="宋体"/>
                <w:bCs/>
              </w:rPr>
            </w:pPr>
          </w:p>
        </w:tc>
        <w:tc>
          <w:tcPr>
            <w:tcW w:w="5832" w:type="dxa"/>
            <w:vAlign w:val="center"/>
          </w:tcPr>
          <w:p>
            <w:pPr>
              <w:rPr>
                <w:rFonts w:ascii="宋体" w:hAnsi="宋体"/>
                <w:bCs/>
              </w:rPr>
            </w:pPr>
            <w:r>
              <w:rPr>
                <w:rFonts w:ascii="宋体" w:hAnsi="宋体"/>
                <w:bCs/>
              </w:rPr>
              <w:t>欠合理，</w:t>
            </w:r>
            <w:r>
              <w:rPr>
                <w:rFonts w:hint="eastAsia" w:ascii="宋体" w:hAnsi="宋体"/>
                <w:bCs/>
              </w:rPr>
              <w:t>基本</w:t>
            </w:r>
            <w:r>
              <w:rPr>
                <w:rFonts w:ascii="宋体" w:hAnsi="宋体"/>
                <w:bCs/>
              </w:rPr>
              <w:t>可行</w:t>
            </w:r>
            <w:r>
              <w:rPr>
                <w:rFonts w:hint="eastAsia" w:ascii="宋体" w:hAnsi="宋体"/>
                <w:bCs/>
              </w:rPr>
              <w:t xml:space="preserve">              5-3分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szCs w:val="44"/>
              </w:rPr>
            </w:pPr>
          </w:p>
        </w:tc>
        <w:tc>
          <w:tcPr>
            <w:tcW w:w="720" w:type="dxa"/>
            <w:vMerge w:val="continue"/>
            <w:vAlign w:val="center"/>
          </w:tcPr>
          <w:p>
            <w:pPr>
              <w:rPr>
                <w:rFonts w:ascii="宋体" w:hAnsi="宋体"/>
                <w:bCs/>
              </w:rPr>
            </w:pPr>
          </w:p>
        </w:tc>
        <w:tc>
          <w:tcPr>
            <w:tcW w:w="5832" w:type="dxa"/>
            <w:vAlign w:val="center"/>
          </w:tcPr>
          <w:p>
            <w:pPr>
              <w:rPr>
                <w:rFonts w:ascii="宋体" w:hAnsi="宋体"/>
                <w:bCs/>
              </w:rPr>
            </w:pPr>
            <w:r>
              <w:rPr>
                <w:rFonts w:hint="eastAsia" w:ascii="宋体" w:hAnsi="宋体"/>
                <w:bCs/>
              </w:rPr>
              <w:t>不</w:t>
            </w:r>
            <w:r>
              <w:rPr>
                <w:rFonts w:ascii="宋体" w:hAnsi="宋体"/>
                <w:bCs/>
              </w:rPr>
              <w:t>可行，</w:t>
            </w:r>
            <w:r>
              <w:rPr>
                <w:rFonts w:hint="eastAsia" w:ascii="宋体" w:hAnsi="宋体"/>
                <w:bCs/>
              </w:rPr>
              <w:t>不能</w:t>
            </w:r>
            <w:r>
              <w:rPr>
                <w:rFonts w:ascii="宋体" w:hAnsi="宋体"/>
                <w:bCs/>
              </w:rPr>
              <w:t>满足工程</w:t>
            </w:r>
            <w:r>
              <w:rPr>
                <w:rFonts w:hint="eastAsia" w:ascii="宋体" w:hAnsi="宋体"/>
                <w:bCs/>
              </w:rPr>
              <w:t>需要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restart"/>
            <w:vAlign w:val="center"/>
          </w:tcPr>
          <w:p>
            <w:pPr>
              <w:rPr>
                <w:rFonts w:ascii="宋体" w:hAnsi="宋体"/>
              </w:rPr>
            </w:pPr>
            <w:r>
              <w:rPr>
                <w:rFonts w:hint="eastAsia" w:ascii="宋体" w:hAnsi="宋体"/>
              </w:rPr>
              <w:t>施工现场平面布置</w:t>
            </w:r>
          </w:p>
        </w:tc>
        <w:tc>
          <w:tcPr>
            <w:tcW w:w="720" w:type="dxa"/>
            <w:vMerge w:val="restart"/>
            <w:vAlign w:val="center"/>
          </w:tcPr>
          <w:p>
            <w:pPr>
              <w:rPr>
                <w:rFonts w:ascii="宋体" w:hAnsi="宋体"/>
              </w:rPr>
            </w:pPr>
            <w:r>
              <w:rPr>
                <w:rFonts w:hint="eastAsia" w:ascii="宋体" w:hAnsi="宋体"/>
                <w:szCs w:val="44"/>
              </w:rPr>
              <w:t>2</w:t>
            </w:r>
            <w:r>
              <w:rPr>
                <w:rFonts w:hint="eastAsia" w:ascii="宋体" w:hAnsi="宋体"/>
                <w:bCs/>
              </w:rPr>
              <w:t>分</w:t>
            </w:r>
          </w:p>
        </w:tc>
        <w:tc>
          <w:tcPr>
            <w:tcW w:w="5832" w:type="dxa"/>
            <w:vAlign w:val="center"/>
          </w:tcPr>
          <w:p>
            <w:pPr>
              <w:rPr>
                <w:rFonts w:ascii="宋体" w:hAnsi="宋体"/>
                <w:szCs w:val="44"/>
              </w:rPr>
            </w:pPr>
            <w:r>
              <w:rPr>
                <w:rFonts w:hint="eastAsia" w:ascii="宋体" w:hAnsi="宋体"/>
                <w:szCs w:val="44"/>
              </w:rPr>
              <w:t>现场布置合理                    2</w:t>
            </w:r>
            <w:r>
              <w:rPr>
                <w:rFonts w:hint="eastAsia" w:ascii="宋体" w:hAnsi="宋体"/>
                <w:bC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szCs w:val="44"/>
              </w:rPr>
            </w:pPr>
          </w:p>
        </w:tc>
        <w:tc>
          <w:tcPr>
            <w:tcW w:w="720" w:type="dxa"/>
            <w:vMerge w:val="continue"/>
            <w:vAlign w:val="center"/>
          </w:tcPr>
          <w:p>
            <w:pPr>
              <w:rPr>
                <w:rFonts w:ascii="宋体" w:hAnsi="宋体"/>
                <w:szCs w:val="44"/>
              </w:rPr>
            </w:pPr>
          </w:p>
        </w:tc>
        <w:tc>
          <w:tcPr>
            <w:tcW w:w="5832" w:type="dxa"/>
            <w:vAlign w:val="center"/>
          </w:tcPr>
          <w:p>
            <w:pPr>
              <w:rPr>
                <w:rFonts w:ascii="宋体" w:hAnsi="宋体"/>
                <w:szCs w:val="44"/>
              </w:rPr>
            </w:pPr>
            <w:r>
              <w:rPr>
                <w:rFonts w:hint="eastAsia" w:ascii="宋体" w:hAnsi="宋体"/>
                <w:szCs w:val="44"/>
              </w:rPr>
              <w:t>现场布置可行                    1</w:t>
            </w:r>
            <w:r>
              <w:rPr>
                <w:rFonts w:hint="eastAsia" w:ascii="宋体" w:hAnsi="宋体"/>
                <w:bC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szCs w:val="44"/>
              </w:rPr>
            </w:pPr>
          </w:p>
        </w:tc>
        <w:tc>
          <w:tcPr>
            <w:tcW w:w="720" w:type="dxa"/>
            <w:vMerge w:val="continue"/>
            <w:vAlign w:val="center"/>
          </w:tcPr>
          <w:p>
            <w:pPr>
              <w:rPr>
                <w:rFonts w:ascii="宋体" w:hAnsi="宋体"/>
                <w:szCs w:val="44"/>
              </w:rPr>
            </w:pPr>
          </w:p>
        </w:tc>
        <w:tc>
          <w:tcPr>
            <w:tcW w:w="5832" w:type="dxa"/>
            <w:vAlign w:val="center"/>
          </w:tcPr>
          <w:p>
            <w:pPr>
              <w:rPr>
                <w:rFonts w:ascii="宋体" w:hAnsi="宋体"/>
                <w:szCs w:val="44"/>
              </w:rPr>
            </w:pPr>
            <w:r>
              <w:rPr>
                <w:rFonts w:hint="eastAsia" w:ascii="宋体" w:hAnsi="宋体"/>
                <w:szCs w:val="44"/>
              </w:rPr>
              <w:t>现场布置不可行                  0</w:t>
            </w:r>
            <w:r>
              <w:rPr>
                <w:rFonts w:hint="eastAsia" w:ascii="宋体" w:hAnsi="宋体"/>
                <w:bC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restart"/>
            <w:vAlign w:val="center"/>
          </w:tcPr>
          <w:p>
            <w:pPr>
              <w:rPr>
                <w:rFonts w:ascii="宋体" w:hAnsi="宋体"/>
              </w:rPr>
            </w:pPr>
            <w:r>
              <w:rPr>
                <w:rFonts w:hint="eastAsia" w:ascii="宋体" w:hAnsi="宋体"/>
              </w:rPr>
              <w:t>主要施工管理计划</w:t>
            </w:r>
          </w:p>
        </w:tc>
        <w:tc>
          <w:tcPr>
            <w:tcW w:w="720" w:type="dxa"/>
            <w:vMerge w:val="restart"/>
            <w:vAlign w:val="center"/>
          </w:tcPr>
          <w:p>
            <w:pPr>
              <w:rPr>
                <w:rFonts w:ascii="宋体" w:hAnsi="宋体"/>
              </w:rPr>
            </w:pPr>
            <w:r>
              <w:rPr>
                <w:rFonts w:hint="eastAsia" w:ascii="宋体" w:hAnsi="宋体"/>
                <w:szCs w:val="44"/>
              </w:rPr>
              <w:t>4</w:t>
            </w:r>
            <w:r>
              <w:rPr>
                <w:rFonts w:hint="eastAsia" w:ascii="宋体" w:hAnsi="宋体"/>
                <w:bCs/>
              </w:rPr>
              <w:t>分</w:t>
            </w:r>
          </w:p>
        </w:tc>
        <w:tc>
          <w:tcPr>
            <w:tcW w:w="5832" w:type="dxa"/>
            <w:vAlign w:val="center"/>
          </w:tcPr>
          <w:p>
            <w:pPr>
              <w:rPr>
                <w:rFonts w:ascii="宋体" w:hAnsi="宋体"/>
                <w:szCs w:val="44"/>
              </w:rPr>
            </w:pPr>
            <w:r>
              <w:rPr>
                <w:rFonts w:hint="eastAsia" w:ascii="宋体" w:hAnsi="宋体"/>
                <w:szCs w:val="44"/>
              </w:rPr>
              <w:t>内容完备，合理、</w:t>
            </w:r>
            <w:r>
              <w:rPr>
                <w:rFonts w:ascii="宋体" w:hAnsi="宋体"/>
                <w:szCs w:val="44"/>
              </w:rPr>
              <w:t>针对性强</w:t>
            </w:r>
            <w:r>
              <w:rPr>
                <w:rFonts w:hint="eastAsia" w:ascii="宋体" w:hAnsi="宋体"/>
                <w:szCs w:val="44"/>
              </w:rPr>
              <w:t xml:space="preserve">        </w:t>
            </w:r>
            <w:r>
              <w:rPr>
                <w:rFonts w:hint="eastAsia" w:ascii="宋体" w:hAnsi="宋体"/>
                <w:bCs/>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szCs w:val="44"/>
              </w:rPr>
            </w:pPr>
          </w:p>
        </w:tc>
        <w:tc>
          <w:tcPr>
            <w:tcW w:w="720" w:type="dxa"/>
            <w:vMerge w:val="continue"/>
            <w:vAlign w:val="center"/>
          </w:tcPr>
          <w:p>
            <w:pPr>
              <w:rPr>
                <w:rFonts w:ascii="宋体" w:hAnsi="宋体"/>
                <w:szCs w:val="44"/>
              </w:rPr>
            </w:pPr>
          </w:p>
        </w:tc>
        <w:tc>
          <w:tcPr>
            <w:tcW w:w="5832" w:type="dxa"/>
            <w:vAlign w:val="center"/>
          </w:tcPr>
          <w:p>
            <w:pPr>
              <w:rPr>
                <w:rFonts w:ascii="宋体" w:hAnsi="宋体"/>
                <w:szCs w:val="44"/>
              </w:rPr>
            </w:pPr>
            <w:r>
              <w:rPr>
                <w:rFonts w:hint="eastAsia" w:ascii="宋体" w:hAnsi="宋体"/>
                <w:szCs w:val="44"/>
              </w:rPr>
              <w:t xml:space="preserve">内容完备，可行                  </w:t>
            </w:r>
            <w:r>
              <w:rPr>
                <w:rFonts w:hint="eastAsia" w:ascii="宋体" w:hAnsi="宋体"/>
                <w:bCs/>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szCs w:val="44"/>
              </w:rPr>
            </w:pPr>
          </w:p>
        </w:tc>
        <w:tc>
          <w:tcPr>
            <w:tcW w:w="720" w:type="dxa"/>
            <w:vMerge w:val="continue"/>
            <w:vAlign w:val="center"/>
          </w:tcPr>
          <w:p>
            <w:pPr>
              <w:rPr>
                <w:rFonts w:ascii="宋体" w:hAnsi="宋体"/>
                <w:szCs w:val="44"/>
              </w:rPr>
            </w:pPr>
          </w:p>
        </w:tc>
        <w:tc>
          <w:tcPr>
            <w:tcW w:w="5832" w:type="dxa"/>
            <w:vAlign w:val="center"/>
          </w:tcPr>
          <w:p>
            <w:pPr>
              <w:rPr>
                <w:rFonts w:ascii="宋体" w:hAnsi="宋体"/>
                <w:szCs w:val="44"/>
              </w:rPr>
            </w:pPr>
            <w:r>
              <w:rPr>
                <w:rFonts w:hint="eastAsia" w:ascii="宋体" w:hAnsi="宋体"/>
                <w:szCs w:val="44"/>
              </w:rPr>
              <w:t>内容欠完备，基本可行          2-1</w:t>
            </w:r>
            <w:r>
              <w:rPr>
                <w:rFonts w:hint="eastAsia" w:ascii="宋体" w:hAnsi="宋体"/>
                <w:bC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340" w:type="dxa"/>
            <w:vMerge w:val="continue"/>
            <w:vAlign w:val="center"/>
          </w:tcPr>
          <w:p>
            <w:pPr>
              <w:rPr>
                <w:rFonts w:ascii="宋体" w:hAnsi="宋体"/>
                <w:szCs w:val="44"/>
              </w:rPr>
            </w:pPr>
          </w:p>
        </w:tc>
        <w:tc>
          <w:tcPr>
            <w:tcW w:w="720" w:type="dxa"/>
            <w:vMerge w:val="continue"/>
            <w:vAlign w:val="center"/>
          </w:tcPr>
          <w:p>
            <w:pPr>
              <w:rPr>
                <w:rFonts w:ascii="宋体" w:hAnsi="宋体"/>
                <w:szCs w:val="44"/>
              </w:rPr>
            </w:pPr>
          </w:p>
        </w:tc>
        <w:tc>
          <w:tcPr>
            <w:tcW w:w="5832" w:type="dxa"/>
            <w:vAlign w:val="center"/>
          </w:tcPr>
          <w:p>
            <w:pPr>
              <w:rPr>
                <w:rFonts w:ascii="宋体" w:hAnsi="宋体"/>
                <w:szCs w:val="44"/>
              </w:rPr>
            </w:pPr>
            <w:r>
              <w:rPr>
                <w:rFonts w:hint="eastAsia" w:ascii="宋体" w:hAnsi="宋体"/>
                <w:szCs w:val="44"/>
              </w:rPr>
              <w:t xml:space="preserve">不可行                          </w:t>
            </w:r>
            <w:r>
              <w:rPr>
                <w:rFonts w:hint="eastAsia" w:ascii="宋体" w:hAnsi="宋体"/>
                <w:bCs/>
              </w:rPr>
              <w:t>0分</w:t>
            </w:r>
          </w:p>
        </w:tc>
      </w:tr>
    </w:tbl>
    <w:p>
      <w:pPr>
        <w:spacing w:line="400" w:lineRule="exact"/>
        <w:rPr>
          <w:rFonts w:ascii="宋体" w:hAnsi="宋体" w:cs="宋体"/>
          <w:sz w:val="24"/>
        </w:rPr>
      </w:pPr>
      <w:r>
        <w:rPr>
          <w:rFonts w:hint="eastAsia" w:ascii="宋体" w:hAnsi="宋体" w:cs="宋体"/>
          <w:sz w:val="24"/>
        </w:rPr>
        <w:t xml:space="preserve"> </w:t>
      </w:r>
    </w:p>
    <w:p>
      <w:pPr>
        <w:spacing w:line="400" w:lineRule="exact"/>
        <w:rPr>
          <w:rFonts w:ascii="宋体" w:hAnsi="宋体" w:cs="宋体"/>
          <w:sz w:val="24"/>
        </w:rPr>
      </w:pPr>
      <w:r>
        <w:rPr>
          <w:rFonts w:hint="eastAsia" w:ascii="宋体" w:hAnsi="宋体" w:cs="宋体"/>
          <w:sz w:val="24"/>
        </w:rPr>
        <w:t xml:space="preserve"> </w:t>
      </w:r>
      <w:r>
        <w:rPr>
          <w:rFonts w:hint="eastAsia" w:ascii="宋体" w:hAnsi="宋体" w:cs="宋体"/>
          <w:b/>
          <w:bCs/>
          <w:sz w:val="24"/>
        </w:rPr>
        <w:t xml:space="preserve"> </w:t>
      </w:r>
      <w:bookmarkEnd w:id="11"/>
    </w:p>
    <w:p>
      <w:pPr>
        <w:pStyle w:val="3"/>
        <w:spacing w:line="400" w:lineRule="exact"/>
        <w:rPr>
          <w:rFonts w:ascii="宋体" w:hAnsi="宋体"/>
          <w:sz w:val="28"/>
          <w:szCs w:val="24"/>
        </w:rPr>
      </w:pPr>
      <w:r>
        <w:rPr>
          <w:rFonts w:hint="eastAsia" w:ascii="宋体" w:hAnsi="宋体"/>
          <w:sz w:val="28"/>
          <w:szCs w:val="24"/>
        </w:rPr>
        <w:t>九、签订合同：</w:t>
      </w:r>
    </w:p>
    <w:p>
      <w:pPr>
        <w:numPr>
          <w:ilvl w:val="1"/>
          <w:numId w:val="2"/>
        </w:numPr>
        <w:spacing w:line="460" w:lineRule="exact"/>
        <w:ind w:right="26"/>
        <w:rPr>
          <w:rFonts w:ascii="宋体"/>
          <w:bCs/>
          <w:sz w:val="24"/>
        </w:rPr>
      </w:pPr>
      <w:r>
        <w:rPr>
          <w:rFonts w:hint="eastAsia" w:ascii="宋体" w:hAnsi="宋体"/>
          <w:bCs/>
          <w:sz w:val="24"/>
        </w:rPr>
        <w:t>招标单位在授予合同时有权对需求数量进行适当变更。</w:t>
      </w:r>
    </w:p>
    <w:p>
      <w:pPr>
        <w:spacing w:line="540" w:lineRule="exact"/>
        <w:ind w:firstLine="597" w:firstLineChars="249"/>
        <w:rPr>
          <w:rFonts w:ascii="宋体"/>
          <w:b/>
          <w:bCs/>
          <w:kern w:val="44"/>
          <w:sz w:val="44"/>
          <w:szCs w:val="44"/>
        </w:rPr>
      </w:pPr>
      <w:r>
        <w:rPr>
          <w:rFonts w:hint="eastAsia" w:ascii="宋体" w:hAnsi="宋体"/>
          <w:bCs/>
          <w:sz w:val="24"/>
        </w:rPr>
        <w:t>本次开标后七天内，招标单位与中标方进行洽谈，直至签订合同。</w:t>
      </w:r>
    </w:p>
    <w:p>
      <w:pPr>
        <w:spacing w:line="540" w:lineRule="exact"/>
        <w:ind w:firstLine="1100" w:firstLineChars="249"/>
        <w:rPr>
          <w:rFonts w:ascii="宋体"/>
          <w:b/>
          <w:bCs/>
          <w:kern w:val="44"/>
          <w:sz w:val="44"/>
          <w:szCs w:val="44"/>
        </w:rPr>
      </w:pPr>
    </w:p>
    <w:p>
      <w:pPr>
        <w:pStyle w:val="2"/>
        <w:spacing w:before="240" w:after="240" w:line="400" w:lineRule="exact"/>
        <w:jc w:val="center"/>
        <w:rPr>
          <w:sz w:val="30"/>
          <w:szCs w:val="30"/>
        </w:rPr>
      </w:pPr>
    </w:p>
    <w:p>
      <w:pPr>
        <w:pStyle w:val="2"/>
        <w:spacing w:before="240" w:after="240" w:line="400" w:lineRule="exact"/>
        <w:rPr>
          <w:sz w:val="30"/>
          <w:szCs w:val="30"/>
        </w:rPr>
      </w:pPr>
    </w:p>
    <w:p>
      <w:pPr>
        <w:pStyle w:val="2"/>
        <w:spacing w:before="240" w:after="240" w:line="400" w:lineRule="exact"/>
        <w:jc w:val="center"/>
        <w:rPr>
          <w:sz w:val="30"/>
          <w:szCs w:val="30"/>
        </w:rPr>
      </w:pPr>
    </w:p>
    <w:p/>
    <w:p/>
    <w:p/>
    <w:p>
      <w:pPr>
        <w:pStyle w:val="2"/>
        <w:spacing w:before="240" w:after="240" w:line="400" w:lineRule="exact"/>
        <w:jc w:val="center"/>
        <w:rPr>
          <w:sz w:val="30"/>
          <w:szCs w:val="30"/>
        </w:rPr>
      </w:pPr>
      <w:r>
        <w:rPr>
          <w:rFonts w:hint="eastAsia"/>
          <w:sz w:val="30"/>
          <w:szCs w:val="30"/>
        </w:rPr>
        <w:t>第三章</w:t>
      </w:r>
      <w:r>
        <w:rPr>
          <w:sz w:val="30"/>
          <w:szCs w:val="30"/>
        </w:rPr>
        <w:t xml:space="preserve"> </w:t>
      </w:r>
      <w:bookmarkStart w:id="12" w:name="_Toc229456846"/>
      <w:r>
        <w:rPr>
          <w:sz w:val="30"/>
          <w:szCs w:val="30"/>
        </w:rPr>
        <w:t xml:space="preserve"> </w:t>
      </w:r>
      <w:r>
        <w:rPr>
          <w:rFonts w:hint="eastAsia"/>
          <w:sz w:val="30"/>
          <w:szCs w:val="30"/>
        </w:rPr>
        <w:t>服务及商务要求</w:t>
      </w:r>
    </w:p>
    <w:p>
      <w:pPr>
        <w:pStyle w:val="2"/>
        <w:spacing w:before="240" w:after="240" w:line="400" w:lineRule="exact"/>
        <w:jc w:val="left"/>
        <w:rPr>
          <w:sz w:val="30"/>
          <w:szCs w:val="30"/>
        </w:rPr>
      </w:pPr>
      <w:r>
        <w:rPr>
          <w:rFonts w:hint="eastAsia" w:ascii="宋体" w:hAnsi="宋体"/>
          <w:color w:val="000000" w:themeColor="text1"/>
          <w:sz w:val="24"/>
        </w:rPr>
        <w:t>一、工程内容</w:t>
      </w:r>
    </w:p>
    <w:p>
      <w:pPr>
        <w:spacing w:line="540" w:lineRule="exact"/>
        <w:ind w:firstLine="597" w:firstLineChars="249"/>
        <w:rPr>
          <w:rFonts w:ascii="宋体" w:hAnsi="宋体"/>
          <w:bCs/>
          <w:sz w:val="24"/>
        </w:rPr>
      </w:pPr>
      <w:r>
        <w:rPr>
          <w:rFonts w:hint="eastAsia" w:ascii="宋体" w:hAnsi="宋体"/>
          <w:bCs/>
          <w:sz w:val="24"/>
        </w:rPr>
        <w:t>投标人根据现场踏勘情况及工程量清单，做出适当的报价，招标控制价</w:t>
      </w:r>
      <w:r>
        <w:rPr>
          <w:rFonts w:hint="eastAsia" w:ascii="宋体" w:hAnsi="宋体"/>
          <w:sz w:val="24"/>
        </w:rPr>
        <w:t>127,824.05</w:t>
      </w:r>
      <w:r>
        <w:rPr>
          <w:rFonts w:hint="eastAsia" w:ascii="宋体" w:hAnsi="宋体"/>
          <w:bCs/>
          <w:sz w:val="24"/>
        </w:rPr>
        <w:t>元。</w:t>
      </w:r>
    </w:p>
    <w:p>
      <w:pPr>
        <w:pStyle w:val="3"/>
        <w:spacing w:line="400" w:lineRule="exact"/>
        <w:rPr>
          <w:rFonts w:ascii="宋体" w:hAnsi="宋体"/>
          <w:sz w:val="28"/>
          <w:szCs w:val="24"/>
        </w:rPr>
      </w:pPr>
      <w:r>
        <w:rPr>
          <w:rFonts w:hint="eastAsia" w:ascii="宋体" w:hAnsi="宋体"/>
          <w:sz w:val="28"/>
          <w:szCs w:val="24"/>
        </w:rPr>
        <w:t>二、工程施工标准与规范要求</w:t>
      </w:r>
    </w:p>
    <w:p>
      <w:pPr>
        <w:spacing w:line="400" w:lineRule="exact"/>
        <w:rPr>
          <w:rFonts w:ascii="宋体" w:hAnsi="宋体"/>
          <w:sz w:val="24"/>
        </w:rPr>
      </w:pPr>
      <w:r>
        <w:rPr>
          <w:rFonts w:hint="eastAsia" w:ascii="宋体" w:hAnsi="宋体"/>
          <w:sz w:val="24"/>
        </w:rPr>
        <w:t>施工规范达到国家颁布的行业标准要求；</w:t>
      </w:r>
    </w:p>
    <w:p>
      <w:pPr>
        <w:spacing w:line="360" w:lineRule="auto"/>
        <w:contextualSpacing/>
        <w:rPr>
          <w:rFonts w:ascii="宋体" w:hAnsi="宋体"/>
          <w:sz w:val="24"/>
        </w:rPr>
      </w:pPr>
      <w:r>
        <w:rPr>
          <w:rFonts w:hint="eastAsia" w:ascii="宋体" w:hAnsi="宋体"/>
          <w:b/>
          <w:sz w:val="24"/>
        </w:rPr>
        <w:t>质 保 期：</w:t>
      </w:r>
      <w:r>
        <w:rPr>
          <w:rFonts w:hint="eastAsia" w:ascii="宋体" w:hAnsi="宋体"/>
          <w:sz w:val="24"/>
        </w:rPr>
        <w:t>施工方必须为本项目的施工质量提供规定时间的保修期</w:t>
      </w:r>
      <w:r>
        <w:rPr>
          <w:rFonts w:ascii="Arial" w:hAnsi="Arial" w:cs="Arial"/>
          <w:color w:val="333333"/>
          <w:sz w:val="23"/>
          <w:szCs w:val="23"/>
          <w:shd w:val="clear" w:color="auto" w:fill="FFFFFF"/>
        </w:rPr>
        <w:t>。</w:t>
      </w:r>
      <w:r>
        <w:rPr>
          <w:rFonts w:hint="eastAsia" w:ascii="宋体" w:hAnsi="宋体"/>
          <w:sz w:val="24"/>
        </w:rPr>
        <w:t>保修期时间自产品最终验收合格双方签字并交付使用之日算起。</w:t>
      </w:r>
    </w:p>
    <w:p>
      <w:pPr>
        <w:spacing w:line="480" w:lineRule="exact"/>
        <w:rPr>
          <w:rFonts w:ascii="宋体" w:hAnsi="宋体"/>
          <w:sz w:val="24"/>
        </w:rPr>
      </w:pPr>
      <w:r>
        <w:rPr>
          <w:rFonts w:hint="eastAsia" w:ascii="宋体" w:hAnsi="宋体"/>
          <w:b/>
          <w:sz w:val="24"/>
        </w:rPr>
        <w:t>付款方式：</w:t>
      </w:r>
      <w:r>
        <w:rPr>
          <w:rFonts w:hint="eastAsia" w:ascii="宋体" w:hAnsi="宋体"/>
          <w:sz w:val="24"/>
        </w:rPr>
        <w:t>本项目工程款已列入预算，工程完工竣工验收，支付60%工程款，决算审计完成后即支付剩余工程款同时预留5%保修金。保修期满后，工程无质量问题，余款付清。</w:t>
      </w:r>
    </w:p>
    <w:p>
      <w:pPr>
        <w:spacing w:line="480" w:lineRule="exact"/>
        <w:rPr>
          <w:rFonts w:ascii="宋体" w:hAnsi="宋体"/>
          <w:sz w:val="24"/>
        </w:rPr>
      </w:pPr>
      <w:r>
        <w:rPr>
          <w:rFonts w:hint="eastAsia" w:ascii="宋体" w:hAnsi="宋体"/>
          <w:b/>
          <w:sz w:val="24"/>
        </w:rPr>
        <w:t>施工工期</w:t>
      </w:r>
      <w:r>
        <w:rPr>
          <w:rFonts w:hint="eastAsia" w:ascii="宋体" w:hAnsi="宋体"/>
          <w:sz w:val="24"/>
        </w:rPr>
        <w:t>：</w:t>
      </w:r>
      <w:r>
        <w:rPr>
          <w:rFonts w:hint="eastAsia" w:ascii="宋体" w:hAnsi="宋体"/>
          <w:color w:val="FF0000"/>
          <w:sz w:val="24"/>
        </w:rPr>
        <w:t>合同签订后20天。</w:t>
      </w:r>
    </w:p>
    <w:p>
      <w:pPr>
        <w:spacing w:line="480" w:lineRule="exact"/>
        <w:rPr>
          <w:rFonts w:ascii="宋体"/>
        </w:rPr>
      </w:pPr>
      <w:r>
        <w:rPr>
          <w:rFonts w:hint="eastAsia" w:ascii="宋体" w:hAnsi="宋体"/>
          <w:sz w:val="24"/>
        </w:rPr>
        <w:t xml:space="preserve">         </w:t>
      </w:r>
    </w:p>
    <w:p>
      <w:pPr>
        <w:spacing w:line="400" w:lineRule="exact"/>
        <w:ind w:firstLine="480" w:firstLineChars="200"/>
        <w:rPr>
          <w:rFonts w:ascii="宋体"/>
          <w:color w:val="FF0000"/>
          <w:sz w:val="2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b/>
          <w:bCs/>
          <w:kern w:val="44"/>
          <w:sz w:val="44"/>
          <w:szCs w:val="44"/>
        </w:rPr>
      </w:pPr>
      <w:r>
        <w:rPr>
          <w:rFonts w:hint="eastAsia" w:ascii="宋体" w:hAnsi="宋体"/>
          <w:b/>
          <w:bCs/>
          <w:kern w:val="44"/>
          <w:sz w:val="44"/>
          <w:szCs w:val="44"/>
        </w:rPr>
        <w:t>第四章</w:t>
      </w:r>
      <w:r>
        <w:rPr>
          <w:rFonts w:ascii="宋体" w:hAnsi="宋体"/>
          <w:b/>
          <w:bCs/>
          <w:kern w:val="44"/>
          <w:sz w:val="44"/>
          <w:szCs w:val="44"/>
        </w:rPr>
        <w:t xml:space="preserve"> </w:t>
      </w:r>
      <w:r>
        <w:rPr>
          <w:rFonts w:hint="eastAsia" w:ascii="宋体" w:hAnsi="宋体"/>
          <w:b/>
          <w:bCs/>
          <w:kern w:val="44"/>
          <w:sz w:val="44"/>
          <w:szCs w:val="44"/>
        </w:rPr>
        <w:t>投标文件格式</w:t>
      </w:r>
    </w:p>
    <w:p>
      <w:pPr>
        <w:spacing w:line="300" w:lineRule="auto"/>
        <w:rPr>
          <w:rFonts w:ascii="宋体"/>
          <w:sz w:val="44"/>
          <w:szCs w:val="44"/>
        </w:rPr>
      </w:pPr>
    </w:p>
    <w:p>
      <w:pPr>
        <w:spacing w:line="300" w:lineRule="auto"/>
        <w:rPr>
          <w:rFonts w:ascii="宋体"/>
          <w:sz w:val="44"/>
          <w:szCs w:val="44"/>
        </w:rPr>
      </w:pPr>
    </w:p>
    <w:p>
      <w:pPr>
        <w:spacing w:line="300" w:lineRule="auto"/>
        <w:jc w:val="center"/>
        <w:rPr>
          <w:rFonts w:ascii="宋体" w:hAnsi="宋体"/>
          <w:b/>
          <w:sz w:val="48"/>
          <w:szCs w:val="48"/>
        </w:rPr>
      </w:pPr>
    </w:p>
    <w:p>
      <w:pPr>
        <w:spacing w:line="300" w:lineRule="auto"/>
        <w:jc w:val="center"/>
        <w:rPr>
          <w:rFonts w:ascii="宋体" w:hAnsi="宋体"/>
          <w:b/>
          <w:sz w:val="48"/>
          <w:szCs w:val="48"/>
        </w:rPr>
      </w:pPr>
    </w:p>
    <w:p>
      <w:pPr>
        <w:spacing w:line="300" w:lineRule="auto"/>
        <w:jc w:val="center"/>
        <w:rPr>
          <w:rFonts w:ascii="宋体" w:hAnsi="宋体"/>
          <w:b/>
          <w:sz w:val="48"/>
          <w:szCs w:val="48"/>
        </w:rPr>
      </w:pPr>
    </w:p>
    <w:p>
      <w:pPr>
        <w:spacing w:line="300" w:lineRule="auto"/>
        <w:jc w:val="center"/>
        <w:rPr>
          <w:rFonts w:ascii="宋体" w:hAnsi="宋体"/>
          <w:b/>
          <w:sz w:val="48"/>
          <w:szCs w:val="48"/>
        </w:rPr>
      </w:pPr>
    </w:p>
    <w:p>
      <w:pPr>
        <w:spacing w:line="300" w:lineRule="auto"/>
        <w:jc w:val="center"/>
        <w:rPr>
          <w:rFonts w:ascii="宋体" w:hAnsi="宋体"/>
          <w:b/>
          <w:sz w:val="48"/>
          <w:szCs w:val="48"/>
        </w:rPr>
      </w:pPr>
    </w:p>
    <w:p>
      <w:pPr>
        <w:spacing w:line="300" w:lineRule="auto"/>
        <w:jc w:val="center"/>
        <w:rPr>
          <w:rFonts w:ascii="宋体"/>
          <w:b/>
          <w:sz w:val="48"/>
          <w:szCs w:val="48"/>
        </w:rPr>
      </w:pPr>
      <w:r>
        <w:rPr>
          <w:rFonts w:hint="eastAsia" w:ascii="宋体" w:hAnsi="宋体"/>
          <w:b/>
          <w:sz w:val="48"/>
          <w:szCs w:val="48"/>
        </w:rPr>
        <w:t>投  标</w:t>
      </w:r>
      <w:r>
        <w:rPr>
          <w:rFonts w:ascii="宋体" w:hAnsi="宋体"/>
          <w:b/>
          <w:sz w:val="48"/>
          <w:szCs w:val="48"/>
        </w:rPr>
        <w:t xml:space="preserve"> </w:t>
      </w:r>
      <w:r>
        <w:rPr>
          <w:rFonts w:hint="eastAsia" w:ascii="宋体" w:hAnsi="宋体"/>
          <w:b/>
          <w:sz w:val="48"/>
          <w:szCs w:val="48"/>
        </w:rPr>
        <w:t>文</w:t>
      </w:r>
      <w:r>
        <w:rPr>
          <w:rFonts w:ascii="宋体" w:hAnsi="宋体"/>
          <w:b/>
          <w:sz w:val="48"/>
          <w:szCs w:val="48"/>
        </w:rPr>
        <w:t xml:space="preserve"> </w:t>
      </w:r>
      <w:r>
        <w:rPr>
          <w:rFonts w:hint="eastAsia" w:ascii="宋体" w:hAnsi="宋体"/>
          <w:b/>
          <w:sz w:val="48"/>
          <w:szCs w:val="48"/>
        </w:rPr>
        <w:t>件</w:t>
      </w:r>
    </w:p>
    <w:p>
      <w:pPr>
        <w:spacing w:line="300" w:lineRule="auto"/>
        <w:jc w:val="center"/>
        <w:rPr>
          <w:rFonts w:ascii="宋体"/>
          <w:sz w:val="28"/>
          <w:szCs w:val="28"/>
        </w:rPr>
      </w:pPr>
    </w:p>
    <w:p>
      <w:pPr>
        <w:spacing w:line="300" w:lineRule="auto"/>
        <w:jc w:val="center"/>
        <w:rPr>
          <w:rFonts w:ascii="宋体"/>
          <w:sz w:val="28"/>
          <w:szCs w:val="28"/>
        </w:rPr>
      </w:pPr>
    </w:p>
    <w:p>
      <w:pPr>
        <w:spacing w:line="300" w:lineRule="auto"/>
        <w:jc w:val="center"/>
        <w:rPr>
          <w:rFonts w:ascii="宋体"/>
          <w:sz w:val="28"/>
          <w:szCs w:val="28"/>
        </w:rPr>
      </w:pPr>
    </w:p>
    <w:p>
      <w:pPr>
        <w:spacing w:line="300" w:lineRule="auto"/>
        <w:ind w:firstLine="2700"/>
        <w:rPr>
          <w:rFonts w:ascii="宋体"/>
          <w:sz w:val="28"/>
          <w:szCs w:val="28"/>
        </w:rPr>
      </w:pPr>
      <w:r>
        <w:rPr>
          <w:rFonts w:hint="eastAsia" w:ascii="宋体" w:hAnsi="宋体"/>
          <w:sz w:val="28"/>
          <w:szCs w:val="28"/>
        </w:rPr>
        <w:t>采购项目编号：</w:t>
      </w:r>
    </w:p>
    <w:p>
      <w:pPr>
        <w:tabs>
          <w:tab w:val="left" w:pos="3240"/>
        </w:tabs>
        <w:spacing w:line="300" w:lineRule="auto"/>
        <w:ind w:firstLine="2700"/>
        <w:rPr>
          <w:rFonts w:ascii="宋体"/>
          <w:sz w:val="28"/>
          <w:szCs w:val="28"/>
        </w:rPr>
      </w:pPr>
      <w:r>
        <w:rPr>
          <w:rFonts w:hint="eastAsia" w:ascii="宋体" w:hAnsi="宋体"/>
          <w:sz w:val="28"/>
          <w:szCs w:val="28"/>
        </w:rPr>
        <w:t>采购项目名称：</w:t>
      </w:r>
    </w:p>
    <w:p>
      <w:pPr>
        <w:spacing w:line="300" w:lineRule="auto"/>
        <w:ind w:firstLine="2700"/>
        <w:rPr>
          <w:rFonts w:ascii="宋体"/>
          <w:sz w:val="28"/>
          <w:szCs w:val="28"/>
          <w:u w:val="single"/>
        </w:rPr>
      </w:pPr>
      <w:r>
        <w:rPr>
          <w:rFonts w:hint="eastAsia" w:ascii="宋体" w:hAnsi="宋体"/>
          <w:sz w:val="28"/>
          <w:szCs w:val="28"/>
        </w:rPr>
        <w:t>招标内容：</w:t>
      </w:r>
    </w:p>
    <w:p>
      <w:pPr>
        <w:tabs>
          <w:tab w:val="left" w:pos="2625"/>
        </w:tabs>
        <w:spacing w:line="300" w:lineRule="auto"/>
        <w:jc w:val="center"/>
        <w:rPr>
          <w:rFonts w:ascii="宋体"/>
          <w:sz w:val="28"/>
          <w:szCs w:val="28"/>
        </w:rPr>
      </w:pPr>
    </w:p>
    <w:p>
      <w:pPr>
        <w:tabs>
          <w:tab w:val="left" w:pos="2625"/>
        </w:tabs>
        <w:spacing w:line="300" w:lineRule="auto"/>
        <w:jc w:val="center"/>
        <w:rPr>
          <w:rFonts w:ascii="宋体"/>
          <w:sz w:val="28"/>
          <w:szCs w:val="28"/>
        </w:rPr>
      </w:pPr>
    </w:p>
    <w:p>
      <w:pPr>
        <w:tabs>
          <w:tab w:val="left" w:pos="2625"/>
        </w:tabs>
        <w:spacing w:line="300" w:lineRule="auto"/>
        <w:jc w:val="center"/>
        <w:rPr>
          <w:rFonts w:ascii="宋体"/>
          <w:sz w:val="28"/>
          <w:szCs w:val="28"/>
        </w:rPr>
      </w:pPr>
    </w:p>
    <w:p>
      <w:pPr>
        <w:tabs>
          <w:tab w:val="left" w:pos="2625"/>
        </w:tabs>
        <w:spacing w:line="300" w:lineRule="auto"/>
        <w:jc w:val="center"/>
        <w:rPr>
          <w:rFonts w:ascii="宋体"/>
          <w:sz w:val="28"/>
          <w:szCs w:val="28"/>
        </w:rPr>
      </w:pPr>
    </w:p>
    <w:p>
      <w:pPr>
        <w:tabs>
          <w:tab w:val="left" w:pos="2625"/>
        </w:tabs>
        <w:spacing w:line="300" w:lineRule="auto"/>
        <w:jc w:val="center"/>
        <w:rPr>
          <w:rFonts w:ascii="宋体"/>
          <w:sz w:val="28"/>
          <w:szCs w:val="28"/>
        </w:rPr>
      </w:pPr>
    </w:p>
    <w:p>
      <w:pPr>
        <w:spacing w:line="300" w:lineRule="auto"/>
        <w:jc w:val="center"/>
        <w:rPr>
          <w:rFonts w:ascii="宋体"/>
          <w:sz w:val="28"/>
          <w:szCs w:val="28"/>
          <w:u w:val="single"/>
        </w:rPr>
      </w:pPr>
      <w:r>
        <w:rPr>
          <w:rFonts w:hint="eastAsia" w:ascii="宋体" w:hAnsi="宋体"/>
          <w:sz w:val="28"/>
          <w:szCs w:val="28"/>
          <w:u w:val="single"/>
        </w:rPr>
        <w:t>（供货商名称）</w:t>
      </w:r>
    </w:p>
    <w:p>
      <w:pPr>
        <w:spacing w:line="300" w:lineRule="auto"/>
        <w:jc w:val="center"/>
        <w:rPr>
          <w:rFonts w:ascii="宋体"/>
          <w:sz w:val="28"/>
          <w:szCs w:val="28"/>
          <w:u w:val="single"/>
        </w:rPr>
      </w:pPr>
      <w:r>
        <w:rPr>
          <w:rFonts w:hint="eastAsia" w:ascii="宋体" w:hAnsi="宋体"/>
          <w:sz w:val="28"/>
          <w:szCs w:val="28"/>
        </w:rPr>
        <w:t>年   月     日</w:t>
      </w:r>
    </w:p>
    <w:p>
      <w:pPr>
        <w:pStyle w:val="3"/>
        <w:rPr>
          <w:rFonts w:ascii="宋体" w:hAnsi="宋体" w:eastAsia="宋体"/>
        </w:rPr>
      </w:pPr>
      <w:r>
        <w:rPr>
          <w:rFonts w:ascii="宋体" w:hAnsi="宋体" w:eastAsia="宋体"/>
        </w:rPr>
        <w:br w:type="page"/>
      </w:r>
      <w:bookmarkStart w:id="13" w:name="_Toc327371177"/>
      <w:bookmarkStart w:id="14" w:name="_Toc265109445"/>
      <w:bookmarkStart w:id="15" w:name="_Toc236473298"/>
      <w:bookmarkStart w:id="16" w:name="_Toc238276242"/>
      <w:bookmarkStart w:id="17" w:name="_Toc294609003"/>
      <w:r>
        <w:rPr>
          <w:rFonts w:hint="eastAsia" w:ascii="宋体" w:hAnsi="宋体" w:eastAsia="宋体"/>
          <w:bCs w:val="0"/>
        </w:rPr>
        <w:t>附件一：报价书</w:t>
      </w:r>
      <w:bookmarkEnd w:id="13"/>
      <w:bookmarkEnd w:id="14"/>
      <w:bookmarkEnd w:id="15"/>
      <w:bookmarkEnd w:id="16"/>
      <w:bookmarkEnd w:id="17"/>
    </w:p>
    <w:p>
      <w:pPr>
        <w:adjustRightInd w:val="0"/>
        <w:snapToGrid w:val="0"/>
        <w:spacing w:line="440" w:lineRule="exact"/>
        <w:rPr>
          <w:rFonts w:ascii="宋体"/>
          <w:sz w:val="24"/>
        </w:rPr>
      </w:pPr>
      <w:r>
        <w:rPr>
          <w:rFonts w:hint="eastAsia" w:ascii="宋体" w:hAnsi="宋体"/>
          <w:sz w:val="24"/>
          <w:u w:val="single"/>
        </w:rPr>
        <w:t>长江大学采购与招投标管理处</w:t>
      </w:r>
      <w:r>
        <w:rPr>
          <w:rFonts w:hint="eastAsia" w:ascii="宋体" w:hAnsi="宋体"/>
          <w:sz w:val="24"/>
        </w:rPr>
        <w:t>：</w:t>
      </w:r>
    </w:p>
    <w:p>
      <w:pPr>
        <w:autoSpaceDE w:val="0"/>
        <w:autoSpaceDN w:val="0"/>
        <w:adjustRightInd w:val="0"/>
        <w:spacing w:line="440" w:lineRule="exact"/>
        <w:ind w:right="26" w:firstLine="480" w:firstLineChars="200"/>
        <w:rPr>
          <w:rFonts w:ascii="宋体"/>
          <w:kern w:val="0"/>
          <w:sz w:val="24"/>
        </w:rPr>
      </w:pPr>
      <w:r>
        <w:rPr>
          <w:rFonts w:hint="eastAsia" w:ascii="宋体" w:hAnsi="宋体"/>
          <w:kern w:val="0"/>
          <w:sz w:val="24"/>
        </w:rPr>
        <w:t>依据贵方</w:t>
      </w:r>
      <w:r>
        <w:rPr>
          <w:rFonts w:ascii="宋体" w:hAnsi="宋体"/>
          <w:sz w:val="24"/>
          <w:u w:val="single"/>
        </w:rPr>
        <w:t xml:space="preserve"> (</w:t>
      </w:r>
      <w:r>
        <w:rPr>
          <w:rFonts w:hint="eastAsia" w:ascii="宋体" w:hAnsi="宋体"/>
          <w:sz w:val="24"/>
          <w:u w:val="single"/>
        </w:rPr>
        <w:t>采购项目名称</w:t>
      </w:r>
      <w:r>
        <w:rPr>
          <w:rFonts w:ascii="宋体" w:hAnsi="宋体"/>
          <w:sz w:val="24"/>
          <w:u w:val="single"/>
        </w:rPr>
        <w:t>/</w:t>
      </w:r>
      <w:r>
        <w:rPr>
          <w:rFonts w:hint="eastAsia" w:ascii="宋体" w:hAnsi="宋体"/>
          <w:sz w:val="24"/>
          <w:u w:val="single"/>
        </w:rPr>
        <w:t>采购项目编号</w:t>
      </w:r>
      <w:r>
        <w:rPr>
          <w:rFonts w:ascii="宋体" w:hAnsi="宋体"/>
          <w:sz w:val="24"/>
          <w:u w:val="single"/>
        </w:rPr>
        <w:t xml:space="preserve">) </w:t>
      </w:r>
      <w:r>
        <w:rPr>
          <w:rFonts w:hint="eastAsia" w:ascii="宋体" w:hAnsi="宋体"/>
          <w:kern w:val="0"/>
          <w:sz w:val="24"/>
        </w:rPr>
        <w:t>项目采购货物及服务的投标邀请，我方代表</w:t>
      </w:r>
      <w:r>
        <w:rPr>
          <w:rFonts w:hint="eastAsia" w:ascii="宋体" w:hAnsi="宋体"/>
          <w:sz w:val="24"/>
          <w:u w:val="single"/>
        </w:rPr>
        <w:t>（姓名、职务）</w:t>
      </w:r>
      <w:r>
        <w:rPr>
          <w:rFonts w:hint="eastAsia" w:ascii="宋体" w:hAnsi="宋体"/>
          <w:kern w:val="0"/>
          <w:sz w:val="24"/>
        </w:rPr>
        <w:t>经正式授权并代表施工方</w:t>
      </w:r>
      <w:r>
        <w:rPr>
          <w:rFonts w:hint="eastAsia" w:ascii="宋体" w:hAnsi="宋体"/>
          <w:sz w:val="24"/>
          <w:u w:val="single"/>
        </w:rPr>
        <w:t>（施工方名称、地址）</w:t>
      </w:r>
      <w:r>
        <w:rPr>
          <w:rFonts w:hint="eastAsia" w:ascii="宋体" w:hAnsi="宋体"/>
          <w:kern w:val="0"/>
          <w:sz w:val="24"/>
        </w:rPr>
        <w:t>提交下述文件正本  份，副本  份。</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1. </w:t>
      </w:r>
      <w:r>
        <w:rPr>
          <w:rFonts w:hint="eastAsia" w:ascii="宋体" w:hAnsi="宋体"/>
          <w:kern w:val="0"/>
          <w:sz w:val="24"/>
        </w:rPr>
        <w:t>报价一览表；（每个包一份报价一览表，否则视为无效标）</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2. </w:t>
      </w:r>
      <w:r>
        <w:rPr>
          <w:rFonts w:hint="eastAsia" w:ascii="宋体" w:hAnsi="宋体"/>
          <w:kern w:val="0"/>
          <w:sz w:val="24"/>
        </w:rPr>
        <w:t>分项报价表；</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3. </w:t>
      </w:r>
      <w:r>
        <w:rPr>
          <w:rFonts w:hint="eastAsia" w:ascii="宋体" w:hAnsi="宋体"/>
          <w:kern w:val="0"/>
          <w:sz w:val="24"/>
        </w:rPr>
        <w:t>报价服务清单；</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4. </w:t>
      </w:r>
      <w:r>
        <w:rPr>
          <w:rFonts w:hint="eastAsia" w:ascii="宋体" w:hAnsi="宋体"/>
          <w:kern w:val="0"/>
          <w:sz w:val="24"/>
        </w:rPr>
        <w:t>按采购文件及附件要求提供的有关文件；</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5. </w:t>
      </w:r>
      <w:r>
        <w:rPr>
          <w:rFonts w:hint="eastAsia" w:ascii="宋体" w:hAnsi="宋体"/>
          <w:kern w:val="0"/>
          <w:sz w:val="24"/>
        </w:rPr>
        <w:t>资格证明文件；</w:t>
      </w:r>
    </w:p>
    <w:p>
      <w:pPr>
        <w:autoSpaceDE w:val="0"/>
        <w:autoSpaceDN w:val="0"/>
        <w:adjustRightInd w:val="0"/>
        <w:spacing w:line="440" w:lineRule="exact"/>
        <w:ind w:right="26" w:firstLine="480" w:firstLineChars="200"/>
        <w:rPr>
          <w:rFonts w:ascii="宋体"/>
          <w:kern w:val="0"/>
          <w:sz w:val="24"/>
        </w:rPr>
      </w:pPr>
      <w:r>
        <w:rPr>
          <w:rFonts w:hint="eastAsia" w:ascii="宋体" w:hAnsi="宋体"/>
          <w:kern w:val="0"/>
          <w:sz w:val="24"/>
        </w:rPr>
        <w:t>在此，我方宣布同意如下：</w:t>
      </w:r>
    </w:p>
    <w:p>
      <w:pPr>
        <w:autoSpaceDE w:val="0"/>
        <w:autoSpaceDN w:val="0"/>
        <w:adjustRightInd w:val="0"/>
        <w:spacing w:line="440" w:lineRule="exact"/>
        <w:ind w:right="26" w:firstLine="480" w:firstLineChars="200"/>
        <w:rPr>
          <w:rFonts w:ascii="宋体"/>
          <w:kern w:val="0"/>
          <w:sz w:val="24"/>
          <w:u w:val="single"/>
        </w:rPr>
      </w:pPr>
      <w:r>
        <w:rPr>
          <w:rFonts w:ascii="宋体" w:hAnsi="宋体"/>
          <w:kern w:val="0"/>
          <w:sz w:val="24"/>
        </w:rPr>
        <w:t xml:space="preserve">1. </w:t>
      </w:r>
      <w:r>
        <w:rPr>
          <w:rFonts w:hint="eastAsia" w:ascii="宋体" w:hAnsi="宋体"/>
          <w:kern w:val="0"/>
          <w:sz w:val="24"/>
        </w:rPr>
        <w:t>所附《报价一览表》中规定的应提交和交付的投标总价为</w:t>
      </w:r>
      <w:r>
        <w:rPr>
          <w:rFonts w:hint="eastAsia" w:ascii="宋体" w:hAnsi="宋体"/>
          <w:kern w:val="0"/>
          <w:sz w:val="24"/>
          <w:u w:val="single"/>
        </w:rPr>
        <w:t>（注明币种，并用文字和数字表示的投标总价）。</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2. </w:t>
      </w:r>
      <w:r>
        <w:rPr>
          <w:rFonts w:hint="eastAsia" w:ascii="宋体" w:hAnsi="宋体"/>
          <w:kern w:val="0"/>
          <w:sz w:val="24"/>
        </w:rPr>
        <w:t>将按采购文件的约定履行合同责任和义务。</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3. </w:t>
      </w:r>
      <w:r>
        <w:rPr>
          <w:rFonts w:hint="eastAsia" w:ascii="宋体" w:hAnsi="宋体"/>
          <w:kern w:val="0"/>
          <w:sz w:val="24"/>
        </w:rPr>
        <w:t>已详细审查全部采购文件，包括</w:t>
      </w:r>
      <w:r>
        <w:rPr>
          <w:rFonts w:hint="eastAsia" w:ascii="宋体" w:hAnsi="宋体"/>
          <w:kern w:val="0"/>
          <w:sz w:val="24"/>
          <w:u w:val="single"/>
        </w:rPr>
        <w:t>（修正或补充文件）</w:t>
      </w:r>
      <w:r>
        <w:rPr>
          <w:rFonts w:hint="eastAsia" w:ascii="宋体" w:hAnsi="宋体"/>
          <w:kern w:val="0"/>
          <w:sz w:val="24"/>
        </w:rPr>
        <w:t>，对此无异议。</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4. </w:t>
      </w:r>
      <w:r>
        <w:rPr>
          <w:rFonts w:hint="eastAsia" w:ascii="宋体" w:hAnsi="宋体"/>
          <w:sz w:val="24"/>
        </w:rPr>
        <w:t>本响应文件有效期为自报价之日起   个日历日；</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5. </w:t>
      </w:r>
      <w:r>
        <w:rPr>
          <w:rFonts w:hint="eastAsia" w:ascii="宋体" w:hAnsi="宋体"/>
          <w:kern w:val="0"/>
          <w:sz w:val="24"/>
        </w:rPr>
        <w:t>同意提供按照贵方可能要求的与其报价有关的一切数据或资料。</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6. </w:t>
      </w:r>
      <w:r>
        <w:rPr>
          <w:rFonts w:hint="eastAsia" w:ascii="宋体" w:hAnsi="宋体"/>
          <w:kern w:val="0"/>
          <w:sz w:val="24"/>
        </w:rPr>
        <w:t>与本投标有关的一切正式往来信函请寄：</w:t>
      </w:r>
    </w:p>
    <w:p>
      <w:pPr>
        <w:autoSpaceDE w:val="0"/>
        <w:autoSpaceDN w:val="0"/>
        <w:adjustRightInd w:val="0"/>
        <w:spacing w:line="440" w:lineRule="exact"/>
        <w:ind w:left="897" w:leftChars="427" w:right="246" w:firstLine="2" w:firstLineChars="1"/>
        <w:rPr>
          <w:rFonts w:ascii="宋体"/>
          <w:kern w:val="0"/>
          <w:sz w:val="24"/>
          <w:u w:val="single"/>
        </w:rPr>
      </w:pPr>
      <w:r>
        <w:rPr>
          <w:rFonts w:hint="eastAsia" w:ascii="宋体" w:hAnsi="宋体"/>
          <w:sz w:val="24"/>
        </w:rPr>
        <w:t>供</w:t>
      </w:r>
      <w:r>
        <w:rPr>
          <w:rFonts w:ascii="宋体" w:hAnsi="宋体"/>
          <w:sz w:val="24"/>
        </w:rPr>
        <w:t xml:space="preserve"> </w:t>
      </w:r>
      <w:r>
        <w:rPr>
          <w:rFonts w:hint="eastAsia" w:ascii="宋体" w:hAnsi="宋体"/>
          <w:sz w:val="24"/>
        </w:rPr>
        <w:t>应</w:t>
      </w:r>
      <w:r>
        <w:rPr>
          <w:rFonts w:ascii="宋体" w:hAnsi="宋体"/>
          <w:sz w:val="24"/>
        </w:rPr>
        <w:t xml:space="preserve"> </w:t>
      </w:r>
      <w:r>
        <w:rPr>
          <w:rFonts w:hint="eastAsia" w:ascii="宋体" w:hAnsi="宋体"/>
          <w:sz w:val="24"/>
        </w:rPr>
        <w:t>商</w:t>
      </w:r>
      <w:r>
        <w:rPr>
          <w:rFonts w:hint="eastAsia" w:ascii="宋体" w:hAnsi="宋体"/>
          <w:kern w:val="0"/>
          <w:sz w:val="24"/>
        </w:rPr>
        <w:t>：</w:t>
      </w:r>
    </w:p>
    <w:p>
      <w:pPr>
        <w:autoSpaceDE w:val="0"/>
        <w:autoSpaceDN w:val="0"/>
        <w:adjustRightInd w:val="0"/>
        <w:spacing w:line="440" w:lineRule="exact"/>
        <w:ind w:left="897" w:leftChars="427" w:right="246" w:firstLine="2" w:firstLineChars="1"/>
        <w:rPr>
          <w:rFonts w:ascii="宋体"/>
          <w:kern w:val="0"/>
          <w:sz w:val="24"/>
        </w:rPr>
      </w:pPr>
      <w:r>
        <w:rPr>
          <w:rFonts w:hint="eastAsia" w:ascii="宋体" w:hAnsi="宋体"/>
          <w:kern w:val="0"/>
          <w:sz w:val="24"/>
        </w:rPr>
        <w:t>地</w:t>
      </w:r>
      <w:r>
        <w:rPr>
          <w:rFonts w:ascii="宋体" w:hAnsi="宋体"/>
          <w:kern w:val="0"/>
          <w:sz w:val="24"/>
        </w:rPr>
        <w:t xml:space="preserve">    </w:t>
      </w:r>
      <w:r>
        <w:rPr>
          <w:rFonts w:hint="eastAsia" w:ascii="宋体" w:hAnsi="宋体"/>
          <w:kern w:val="0"/>
          <w:sz w:val="24"/>
        </w:rPr>
        <w:t>址：</w:t>
      </w:r>
    </w:p>
    <w:p>
      <w:pPr>
        <w:autoSpaceDE w:val="0"/>
        <w:autoSpaceDN w:val="0"/>
        <w:adjustRightInd w:val="0"/>
        <w:spacing w:line="440" w:lineRule="exact"/>
        <w:ind w:left="897" w:leftChars="427" w:right="246" w:firstLine="2" w:firstLineChars="1"/>
        <w:rPr>
          <w:rFonts w:ascii="宋体"/>
          <w:kern w:val="0"/>
          <w:sz w:val="24"/>
        </w:rPr>
      </w:pPr>
      <w:r>
        <w:rPr>
          <w:rFonts w:hint="eastAsia" w:ascii="宋体" w:hAnsi="宋体"/>
          <w:kern w:val="0"/>
          <w:sz w:val="24"/>
        </w:rPr>
        <w:t>传</w:t>
      </w:r>
      <w:r>
        <w:rPr>
          <w:rFonts w:ascii="宋体" w:hAnsi="宋体"/>
          <w:kern w:val="0"/>
          <w:sz w:val="24"/>
        </w:rPr>
        <w:t xml:space="preserve">    </w:t>
      </w:r>
      <w:r>
        <w:rPr>
          <w:rFonts w:hint="eastAsia" w:ascii="宋体" w:hAnsi="宋体"/>
          <w:kern w:val="0"/>
          <w:sz w:val="24"/>
        </w:rPr>
        <w:t>真：</w:t>
      </w:r>
    </w:p>
    <w:p>
      <w:pPr>
        <w:autoSpaceDE w:val="0"/>
        <w:autoSpaceDN w:val="0"/>
        <w:adjustRightInd w:val="0"/>
        <w:spacing w:line="440" w:lineRule="exact"/>
        <w:ind w:left="897" w:leftChars="427" w:right="33" w:firstLine="2" w:firstLineChars="1"/>
        <w:rPr>
          <w:rFonts w:ascii="宋体"/>
          <w:kern w:val="0"/>
          <w:sz w:val="24"/>
        </w:rPr>
      </w:pPr>
      <w:r>
        <w:rPr>
          <w:rFonts w:hint="eastAsia" w:ascii="宋体" w:hAnsi="宋体"/>
          <w:kern w:val="0"/>
          <w:sz w:val="24"/>
        </w:rPr>
        <w:t>电</w:t>
      </w:r>
      <w:r>
        <w:rPr>
          <w:rFonts w:ascii="宋体" w:hAnsi="宋体"/>
          <w:kern w:val="0"/>
          <w:sz w:val="24"/>
        </w:rPr>
        <w:t xml:space="preserve">    </w:t>
      </w:r>
      <w:r>
        <w:rPr>
          <w:rFonts w:hint="eastAsia" w:ascii="宋体" w:hAnsi="宋体"/>
          <w:kern w:val="0"/>
          <w:sz w:val="24"/>
        </w:rPr>
        <w:t>话：</w:t>
      </w:r>
    </w:p>
    <w:p>
      <w:pPr>
        <w:autoSpaceDE w:val="0"/>
        <w:autoSpaceDN w:val="0"/>
        <w:adjustRightInd w:val="0"/>
        <w:spacing w:line="440" w:lineRule="exact"/>
        <w:ind w:left="897" w:leftChars="427" w:right="246" w:firstLine="2" w:firstLineChars="1"/>
        <w:rPr>
          <w:rFonts w:ascii="宋体"/>
          <w:kern w:val="0"/>
          <w:sz w:val="24"/>
        </w:rPr>
      </w:pPr>
      <w:r>
        <w:rPr>
          <w:rFonts w:hint="eastAsia" w:ascii="宋体" w:hAnsi="宋体"/>
          <w:kern w:val="0"/>
          <w:sz w:val="24"/>
        </w:rPr>
        <w:t>电子函件：</w:t>
      </w:r>
    </w:p>
    <w:p>
      <w:pPr>
        <w:adjustRightInd w:val="0"/>
        <w:snapToGrid w:val="0"/>
        <w:spacing w:line="440" w:lineRule="exact"/>
        <w:ind w:left="897" w:leftChars="427" w:firstLine="2" w:firstLineChars="1"/>
        <w:rPr>
          <w:rFonts w:ascii="宋体"/>
          <w:sz w:val="24"/>
          <w:u w:val="single"/>
        </w:rPr>
      </w:pPr>
      <w:r>
        <w:rPr>
          <w:rFonts w:hint="eastAsia" w:ascii="宋体" w:hAnsi="宋体"/>
          <w:sz w:val="24"/>
        </w:rPr>
        <w:t>供应商（授权）代表签字：</w:t>
      </w:r>
    </w:p>
    <w:p>
      <w:pPr>
        <w:adjustRightInd w:val="0"/>
        <w:snapToGrid w:val="0"/>
        <w:spacing w:line="440" w:lineRule="exact"/>
        <w:ind w:left="897" w:leftChars="427" w:firstLine="2" w:firstLineChars="1"/>
        <w:rPr>
          <w:rFonts w:ascii="宋体"/>
          <w:sz w:val="24"/>
          <w:u w:val="single"/>
        </w:rPr>
      </w:pPr>
      <w:r>
        <w:rPr>
          <w:rFonts w:hint="eastAsia" w:ascii="宋体" w:hAnsi="宋体"/>
          <w:sz w:val="24"/>
        </w:rPr>
        <w:t>供应商名称</w:t>
      </w:r>
      <w:r>
        <w:rPr>
          <w:rFonts w:ascii="宋体" w:hAnsi="宋体"/>
          <w:sz w:val="24"/>
        </w:rPr>
        <w:t>(</w:t>
      </w:r>
      <w:r>
        <w:rPr>
          <w:rFonts w:hint="eastAsia" w:ascii="宋体" w:hAnsi="宋体"/>
          <w:sz w:val="24"/>
        </w:rPr>
        <w:t>公章</w:t>
      </w:r>
      <w:r>
        <w:rPr>
          <w:rFonts w:ascii="宋体" w:hAnsi="宋体"/>
          <w:sz w:val="24"/>
        </w:rPr>
        <w:t>)</w:t>
      </w:r>
      <w:r>
        <w:rPr>
          <w:rFonts w:hint="eastAsia" w:ascii="宋体" w:hAnsi="宋体"/>
          <w:sz w:val="24"/>
        </w:rPr>
        <w:t>：</w:t>
      </w:r>
      <w:r>
        <w:rPr>
          <w:rFonts w:ascii="宋体" w:hAnsi="宋体"/>
          <w:sz w:val="24"/>
        </w:rPr>
        <w:t xml:space="preserve"> </w:t>
      </w:r>
    </w:p>
    <w:p>
      <w:pPr>
        <w:adjustRightInd w:val="0"/>
        <w:snapToGrid w:val="0"/>
        <w:spacing w:line="440" w:lineRule="exact"/>
        <w:ind w:left="897" w:leftChars="427" w:firstLine="2" w:firstLineChars="1"/>
        <w:rPr>
          <w:rFonts w:ascii="宋体"/>
          <w:sz w:val="24"/>
          <w:u w:val="single"/>
        </w:rPr>
      </w:pPr>
      <w:r>
        <w:rPr>
          <w:rFonts w:hint="eastAsia" w:ascii="宋体" w:hAnsi="宋体"/>
          <w:sz w:val="24"/>
        </w:rPr>
        <w:t>日</w:t>
      </w:r>
      <w:r>
        <w:rPr>
          <w:rFonts w:ascii="宋体" w:hAnsi="宋体"/>
          <w:sz w:val="24"/>
        </w:rPr>
        <w:t xml:space="preserve">    </w:t>
      </w:r>
      <w:r>
        <w:rPr>
          <w:rFonts w:hint="eastAsia" w:ascii="宋体" w:hAnsi="宋体"/>
          <w:sz w:val="24"/>
        </w:rPr>
        <w:t>期：</w:t>
      </w:r>
    </w:p>
    <w:p>
      <w:pPr>
        <w:adjustRightInd w:val="0"/>
        <w:snapToGrid w:val="0"/>
        <w:spacing w:line="440" w:lineRule="exact"/>
        <w:ind w:left="897" w:leftChars="427" w:firstLine="2" w:firstLineChars="1"/>
        <w:rPr>
          <w:rFonts w:ascii="宋体"/>
          <w:sz w:val="24"/>
          <w:u w:val="single"/>
        </w:rPr>
      </w:pPr>
      <w:r>
        <w:rPr>
          <w:rFonts w:hint="eastAsia" w:ascii="宋体" w:hAnsi="宋体"/>
          <w:sz w:val="24"/>
        </w:rPr>
        <w:t>开户银行：</w:t>
      </w:r>
    </w:p>
    <w:p>
      <w:pPr>
        <w:autoSpaceDE w:val="0"/>
        <w:autoSpaceDN w:val="0"/>
        <w:spacing w:line="440" w:lineRule="exact"/>
        <w:ind w:firstLine="900" w:firstLineChars="375"/>
        <w:rPr>
          <w:rFonts w:ascii="宋体"/>
          <w:sz w:val="24"/>
          <w:u w:val="single"/>
        </w:rPr>
      </w:pPr>
      <w:r>
        <w:rPr>
          <w:rFonts w:hint="eastAsia" w:ascii="宋体" w:hAnsi="宋体"/>
          <w:sz w:val="24"/>
        </w:rPr>
        <w:t>帐号</w:t>
      </w:r>
      <w:r>
        <w:rPr>
          <w:rFonts w:ascii="宋体" w:hAnsi="宋体"/>
          <w:sz w:val="24"/>
        </w:rPr>
        <w:t>/</w:t>
      </w:r>
      <w:r>
        <w:rPr>
          <w:rFonts w:hint="eastAsia" w:ascii="宋体" w:hAnsi="宋体"/>
          <w:sz w:val="24"/>
        </w:rPr>
        <w:t>行号：</w:t>
      </w:r>
    </w:p>
    <w:p>
      <w:pPr>
        <w:autoSpaceDE w:val="0"/>
        <w:autoSpaceDN w:val="0"/>
        <w:spacing w:line="440" w:lineRule="exact"/>
        <w:ind w:firstLine="1200" w:firstLineChars="500"/>
        <w:rPr>
          <w:rFonts w:ascii="宋体"/>
          <w:sz w:val="24"/>
          <w:u w:val="single"/>
        </w:rPr>
      </w:pPr>
    </w:p>
    <w:p>
      <w:pPr>
        <w:spacing w:line="300" w:lineRule="auto"/>
        <w:rPr>
          <w:rFonts w:ascii="宋体"/>
          <w:b/>
          <w:sz w:val="32"/>
          <w:szCs w:val="32"/>
        </w:rPr>
      </w:pPr>
    </w:p>
    <w:p>
      <w:pPr>
        <w:spacing w:line="300" w:lineRule="auto"/>
        <w:rPr>
          <w:rFonts w:ascii="宋体" w:cs="Arial"/>
          <w:b/>
          <w:sz w:val="32"/>
          <w:szCs w:val="32"/>
        </w:rPr>
      </w:pPr>
      <w:r>
        <w:rPr>
          <w:rFonts w:hint="eastAsia" w:ascii="宋体" w:hAnsi="宋体"/>
          <w:b/>
          <w:sz w:val="32"/>
          <w:szCs w:val="32"/>
        </w:rPr>
        <w:t>附件二</w:t>
      </w:r>
      <w:r>
        <w:rPr>
          <w:rFonts w:ascii="宋体" w:hAnsi="宋体"/>
          <w:b/>
          <w:sz w:val="32"/>
          <w:szCs w:val="32"/>
        </w:rPr>
        <w:t xml:space="preserve">               </w:t>
      </w:r>
      <w:r>
        <w:rPr>
          <w:rFonts w:hint="eastAsia" w:ascii="宋体" w:hAnsi="宋体"/>
          <w:b/>
          <w:sz w:val="32"/>
          <w:szCs w:val="32"/>
        </w:rPr>
        <w:t>报价一览表</w:t>
      </w:r>
    </w:p>
    <w:p>
      <w:pPr>
        <w:jc w:val="center"/>
        <w:rPr>
          <w:rFonts w:ascii="宋体"/>
          <w:sz w:val="24"/>
        </w:rPr>
      </w:pPr>
    </w:p>
    <w:p>
      <w:pPr>
        <w:rPr>
          <w:rFonts w:ascii="宋体"/>
          <w:sz w:val="24"/>
        </w:rPr>
      </w:pPr>
      <w:r>
        <w:rPr>
          <w:rFonts w:hint="eastAsia" w:ascii="宋体" w:hAnsi="宋体"/>
          <w:sz w:val="24"/>
        </w:rPr>
        <w:t>项目名称：</w:t>
      </w:r>
    </w:p>
    <w:p>
      <w:pPr>
        <w:rPr>
          <w:rFonts w:ascii="宋体"/>
          <w:sz w:val="24"/>
        </w:rPr>
      </w:pPr>
      <w:r>
        <w:rPr>
          <w:rFonts w:hint="eastAsia" w:ascii="宋体" w:hAnsi="宋体"/>
          <w:sz w:val="24"/>
        </w:rPr>
        <w:t>项目编号：</w:t>
      </w:r>
      <w:r>
        <w:rPr>
          <w:rFonts w:ascii="宋体" w:hAnsi="宋体"/>
          <w:sz w:val="24"/>
        </w:rPr>
        <w:t xml:space="preserve">                                 </w:t>
      </w:r>
      <w:r>
        <w:rPr>
          <w:rFonts w:hint="eastAsia" w:ascii="宋体" w:hAnsi="宋体"/>
          <w:sz w:val="24"/>
        </w:rPr>
        <w:t>计量单位：</w:t>
      </w:r>
      <w:r>
        <w:rPr>
          <w:rFonts w:ascii="宋体" w:hAnsi="宋体"/>
          <w:sz w:val="24"/>
        </w:rPr>
        <w:t>RMB(</w:t>
      </w:r>
      <w:r>
        <w:rPr>
          <w:rFonts w:hint="eastAsia" w:ascii="宋体" w:hAnsi="宋体"/>
          <w:sz w:val="24"/>
        </w:rPr>
        <w:t>元</w:t>
      </w:r>
      <w:r>
        <w:rPr>
          <w:rFonts w:ascii="宋体" w:hAnsi="宋体"/>
          <w:sz w:val="24"/>
        </w:rPr>
        <w:t>)</w:t>
      </w:r>
    </w:p>
    <w:tbl>
      <w:tblPr>
        <w:tblStyle w:val="13"/>
        <w:tblW w:w="1008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jc w:val="center"/>
              <w:rPr>
                <w:rFonts w:ascii="宋体"/>
                <w:sz w:val="24"/>
              </w:rPr>
            </w:pPr>
            <w:r>
              <w:rPr>
                <w:rFonts w:hint="eastAsia" w:ascii="宋体" w:hAnsi="宋体"/>
                <w:sz w:val="24"/>
              </w:rPr>
              <w:t>序号</w:t>
            </w:r>
          </w:p>
        </w:tc>
        <w:tc>
          <w:tcPr>
            <w:tcW w:w="2677" w:type="dxa"/>
            <w:vAlign w:val="center"/>
          </w:tcPr>
          <w:p>
            <w:pPr>
              <w:jc w:val="center"/>
              <w:rPr>
                <w:rFonts w:ascii="宋体"/>
                <w:sz w:val="24"/>
              </w:rPr>
            </w:pPr>
            <w:r>
              <w:rPr>
                <w:rFonts w:hint="eastAsia" w:ascii="宋体" w:hAnsi="宋体"/>
                <w:sz w:val="24"/>
              </w:rPr>
              <w:t>项目名称（标段）</w:t>
            </w:r>
          </w:p>
        </w:tc>
        <w:tc>
          <w:tcPr>
            <w:tcW w:w="1553" w:type="dxa"/>
            <w:vAlign w:val="center"/>
          </w:tcPr>
          <w:p>
            <w:pPr>
              <w:jc w:val="center"/>
              <w:rPr>
                <w:rFonts w:ascii="宋体"/>
                <w:sz w:val="24"/>
              </w:rPr>
            </w:pPr>
            <w:r>
              <w:rPr>
                <w:rFonts w:hint="eastAsia" w:ascii="宋体" w:hAnsi="宋体"/>
                <w:sz w:val="24"/>
              </w:rPr>
              <w:t>分部分项工程费</w:t>
            </w:r>
          </w:p>
        </w:tc>
        <w:tc>
          <w:tcPr>
            <w:tcW w:w="1842" w:type="dxa"/>
            <w:vAlign w:val="center"/>
          </w:tcPr>
          <w:p>
            <w:pPr>
              <w:jc w:val="center"/>
              <w:rPr>
                <w:rFonts w:ascii="宋体"/>
                <w:sz w:val="24"/>
              </w:rPr>
            </w:pPr>
            <w:r>
              <w:rPr>
                <w:rFonts w:hint="eastAsia" w:ascii="宋体" w:hAnsi="宋体"/>
                <w:sz w:val="24"/>
              </w:rPr>
              <w:t>措施项目</w:t>
            </w:r>
          </w:p>
        </w:tc>
        <w:tc>
          <w:tcPr>
            <w:tcW w:w="993" w:type="dxa"/>
            <w:vAlign w:val="center"/>
          </w:tcPr>
          <w:p>
            <w:pPr>
              <w:jc w:val="center"/>
              <w:rPr>
                <w:rFonts w:ascii="宋体"/>
                <w:sz w:val="24"/>
              </w:rPr>
            </w:pPr>
            <w:r>
              <w:rPr>
                <w:rFonts w:hint="eastAsia" w:ascii="宋体" w:hAnsi="宋体"/>
                <w:sz w:val="24"/>
              </w:rPr>
              <w:t>其他项目费</w:t>
            </w:r>
          </w:p>
        </w:tc>
        <w:tc>
          <w:tcPr>
            <w:tcW w:w="1275" w:type="dxa"/>
            <w:vAlign w:val="center"/>
          </w:tcPr>
          <w:p>
            <w:pPr>
              <w:jc w:val="center"/>
              <w:rPr>
                <w:rFonts w:ascii="宋体"/>
                <w:sz w:val="24"/>
              </w:rPr>
            </w:pPr>
            <w:r>
              <w:rPr>
                <w:rFonts w:hint="eastAsia" w:ascii="宋体" w:hAnsi="宋体"/>
                <w:sz w:val="24"/>
              </w:rPr>
              <w:t>规费</w:t>
            </w:r>
          </w:p>
        </w:tc>
        <w:tc>
          <w:tcPr>
            <w:tcW w:w="1285" w:type="dxa"/>
            <w:vAlign w:val="center"/>
          </w:tcPr>
          <w:p>
            <w:pPr>
              <w:jc w:val="center"/>
              <w:rPr>
                <w:rFonts w:ascii="宋体"/>
                <w:sz w:val="24"/>
              </w:rPr>
            </w:pPr>
            <w:r>
              <w:rPr>
                <w:rFonts w:hint="eastAsia" w:ascii="宋体" w:hAnsi="宋体"/>
                <w:sz w:val="24"/>
              </w:rPr>
              <w:t>含税工程造价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 w:val="24"/>
              </w:rPr>
            </w:pPr>
          </w:p>
        </w:tc>
        <w:tc>
          <w:tcPr>
            <w:tcW w:w="1553" w:type="dxa"/>
          </w:tcPr>
          <w:p>
            <w:pPr>
              <w:jc w:val="center"/>
              <w:rPr>
                <w:rFonts w:ascii="宋体"/>
                <w:sz w:val="24"/>
              </w:rPr>
            </w:pPr>
          </w:p>
        </w:tc>
        <w:tc>
          <w:tcPr>
            <w:tcW w:w="1842" w:type="dxa"/>
          </w:tcPr>
          <w:p>
            <w:pPr>
              <w:jc w:val="center"/>
              <w:rPr>
                <w:rFonts w:ascii="宋体"/>
                <w:sz w:val="24"/>
              </w:rPr>
            </w:pPr>
          </w:p>
        </w:tc>
        <w:tc>
          <w:tcPr>
            <w:tcW w:w="993" w:type="dxa"/>
            <w:vAlign w:val="center"/>
          </w:tcPr>
          <w:p>
            <w:pPr>
              <w:jc w:val="center"/>
              <w:rPr>
                <w:rFonts w:ascii="宋体"/>
                <w:sz w:val="24"/>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 w:val="24"/>
              </w:rPr>
            </w:pPr>
          </w:p>
        </w:tc>
        <w:tc>
          <w:tcPr>
            <w:tcW w:w="1553" w:type="dxa"/>
          </w:tcPr>
          <w:p>
            <w:pPr>
              <w:jc w:val="center"/>
              <w:rPr>
                <w:rFonts w:ascii="宋体"/>
                <w:sz w:val="24"/>
              </w:rPr>
            </w:pPr>
          </w:p>
        </w:tc>
        <w:tc>
          <w:tcPr>
            <w:tcW w:w="1842" w:type="dxa"/>
          </w:tcPr>
          <w:p>
            <w:pPr>
              <w:jc w:val="center"/>
              <w:rPr>
                <w:rFonts w:ascii="宋体"/>
                <w:sz w:val="24"/>
              </w:rPr>
            </w:pPr>
          </w:p>
        </w:tc>
        <w:tc>
          <w:tcPr>
            <w:tcW w:w="993" w:type="dxa"/>
            <w:vAlign w:val="center"/>
          </w:tcPr>
          <w:p>
            <w:pPr>
              <w:jc w:val="center"/>
              <w:rPr>
                <w:rFonts w:ascii="宋体"/>
                <w:sz w:val="24"/>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 w:val="24"/>
              </w:rPr>
            </w:pPr>
          </w:p>
        </w:tc>
        <w:tc>
          <w:tcPr>
            <w:tcW w:w="1553" w:type="dxa"/>
          </w:tcPr>
          <w:p>
            <w:pPr>
              <w:jc w:val="center"/>
              <w:rPr>
                <w:rFonts w:ascii="宋体"/>
                <w:sz w:val="24"/>
              </w:rPr>
            </w:pPr>
          </w:p>
        </w:tc>
        <w:tc>
          <w:tcPr>
            <w:tcW w:w="1842" w:type="dxa"/>
          </w:tcPr>
          <w:p>
            <w:pPr>
              <w:jc w:val="center"/>
              <w:rPr>
                <w:rFonts w:ascii="宋体"/>
                <w:sz w:val="24"/>
              </w:rPr>
            </w:pPr>
          </w:p>
        </w:tc>
        <w:tc>
          <w:tcPr>
            <w:tcW w:w="993" w:type="dxa"/>
            <w:vAlign w:val="center"/>
          </w:tcPr>
          <w:p>
            <w:pPr>
              <w:jc w:val="center"/>
              <w:rPr>
                <w:rFonts w:ascii="宋体"/>
                <w:sz w:val="24"/>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Cs w:val="28"/>
              </w:rPr>
            </w:pPr>
          </w:p>
        </w:tc>
        <w:tc>
          <w:tcPr>
            <w:tcW w:w="1553" w:type="dxa"/>
          </w:tcPr>
          <w:p>
            <w:pPr>
              <w:jc w:val="center"/>
              <w:rPr>
                <w:rFonts w:ascii="宋体"/>
                <w:szCs w:val="28"/>
              </w:rPr>
            </w:pPr>
          </w:p>
        </w:tc>
        <w:tc>
          <w:tcPr>
            <w:tcW w:w="1842" w:type="dxa"/>
          </w:tcPr>
          <w:p>
            <w:pPr>
              <w:jc w:val="center"/>
              <w:rPr>
                <w:rFonts w:ascii="宋体"/>
                <w:szCs w:val="28"/>
              </w:rPr>
            </w:pPr>
            <w:r>
              <w:rPr>
                <w:rFonts w:hint="eastAsia" w:ascii="宋体"/>
                <w:szCs w:val="28"/>
              </w:rPr>
              <w:t xml:space="preserve">                                                                                                                                                                                                                                                                                                                      </w:t>
            </w:r>
          </w:p>
        </w:tc>
        <w:tc>
          <w:tcPr>
            <w:tcW w:w="993" w:type="dxa"/>
          </w:tcPr>
          <w:p>
            <w:pPr>
              <w:jc w:val="center"/>
              <w:rPr>
                <w:rFonts w:ascii="宋体"/>
                <w:szCs w:val="28"/>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宋体"/>
                <w:szCs w:val="28"/>
              </w:rPr>
            </w:pPr>
          </w:p>
        </w:tc>
        <w:tc>
          <w:tcPr>
            <w:tcW w:w="2677" w:type="dxa"/>
            <w:vAlign w:val="center"/>
          </w:tcPr>
          <w:p>
            <w:pPr>
              <w:rPr>
                <w:rFonts w:ascii="宋体"/>
                <w:szCs w:val="28"/>
              </w:rPr>
            </w:pPr>
          </w:p>
        </w:tc>
        <w:tc>
          <w:tcPr>
            <w:tcW w:w="1553" w:type="dxa"/>
          </w:tcPr>
          <w:p>
            <w:pPr>
              <w:jc w:val="center"/>
              <w:rPr>
                <w:rFonts w:ascii="宋体"/>
                <w:szCs w:val="28"/>
              </w:rPr>
            </w:pPr>
          </w:p>
        </w:tc>
        <w:tc>
          <w:tcPr>
            <w:tcW w:w="1842" w:type="dxa"/>
          </w:tcPr>
          <w:p>
            <w:pPr>
              <w:jc w:val="center"/>
              <w:rPr>
                <w:rFonts w:ascii="宋体"/>
                <w:szCs w:val="28"/>
              </w:rPr>
            </w:pPr>
          </w:p>
        </w:tc>
        <w:tc>
          <w:tcPr>
            <w:tcW w:w="993" w:type="dxa"/>
          </w:tcPr>
          <w:p>
            <w:pPr>
              <w:jc w:val="center"/>
              <w:rPr>
                <w:rFonts w:ascii="宋体"/>
                <w:szCs w:val="28"/>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宋体"/>
                <w:szCs w:val="28"/>
              </w:rPr>
            </w:pPr>
          </w:p>
        </w:tc>
        <w:tc>
          <w:tcPr>
            <w:tcW w:w="2677" w:type="dxa"/>
            <w:vAlign w:val="center"/>
          </w:tcPr>
          <w:p>
            <w:pPr>
              <w:rPr>
                <w:rFonts w:ascii="宋体"/>
                <w:szCs w:val="28"/>
              </w:rPr>
            </w:pPr>
          </w:p>
        </w:tc>
        <w:tc>
          <w:tcPr>
            <w:tcW w:w="1553" w:type="dxa"/>
          </w:tcPr>
          <w:p>
            <w:pPr>
              <w:jc w:val="center"/>
              <w:rPr>
                <w:rFonts w:ascii="宋体"/>
                <w:szCs w:val="28"/>
              </w:rPr>
            </w:pPr>
          </w:p>
        </w:tc>
        <w:tc>
          <w:tcPr>
            <w:tcW w:w="1842" w:type="dxa"/>
          </w:tcPr>
          <w:p>
            <w:pPr>
              <w:jc w:val="center"/>
              <w:rPr>
                <w:rFonts w:ascii="宋体"/>
                <w:szCs w:val="28"/>
              </w:rPr>
            </w:pPr>
          </w:p>
        </w:tc>
        <w:tc>
          <w:tcPr>
            <w:tcW w:w="993" w:type="dxa"/>
          </w:tcPr>
          <w:p>
            <w:pPr>
              <w:jc w:val="center"/>
              <w:rPr>
                <w:rFonts w:ascii="宋体"/>
                <w:szCs w:val="28"/>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宋体"/>
                <w:sz w:val="24"/>
              </w:rPr>
            </w:pPr>
            <w:r>
              <w:rPr>
                <w:rFonts w:hint="eastAsia" w:ascii="宋体" w:hAnsi="宋体"/>
                <w:sz w:val="24"/>
              </w:rPr>
              <w:t>总报价</w:t>
            </w:r>
          </w:p>
        </w:tc>
        <w:tc>
          <w:tcPr>
            <w:tcW w:w="6948" w:type="dxa"/>
            <w:gridSpan w:val="5"/>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宋体"/>
                <w:sz w:val="24"/>
              </w:rPr>
            </w:pPr>
          </w:p>
        </w:tc>
        <w:tc>
          <w:tcPr>
            <w:tcW w:w="6948" w:type="dxa"/>
            <w:gridSpan w:val="5"/>
          </w:tcPr>
          <w:p>
            <w:pPr>
              <w:jc w:val="center"/>
              <w:rPr>
                <w:rFonts w:ascii="宋体"/>
                <w:sz w:val="24"/>
              </w:rPr>
            </w:pPr>
          </w:p>
        </w:tc>
      </w:tr>
    </w:tbl>
    <w:p>
      <w:pPr>
        <w:jc w:val="center"/>
        <w:rPr>
          <w:rFonts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rPr>
        <w:t>本表中的费用含所列工程量清单中的所有费用，增加部分、变更部分、</w:t>
      </w:r>
    </w:p>
    <w:p>
      <w:pPr>
        <w:rPr>
          <w:rFonts w:ascii="宋体"/>
          <w:sz w:val="24"/>
        </w:rPr>
      </w:pPr>
      <w:r>
        <w:rPr>
          <w:rFonts w:hint="eastAsia" w:ascii="宋体" w:hAnsi="宋体"/>
          <w:sz w:val="24"/>
        </w:rPr>
        <w:t>减少部分，据实结算。</w:t>
      </w:r>
    </w:p>
    <w:p>
      <w:pPr>
        <w:jc w:val="center"/>
        <w:rPr>
          <w:rFonts w:ascii="宋体"/>
          <w:sz w:val="24"/>
        </w:rPr>
      </w:pPr>
    </w:p>
    <w:p>
      <w:pPr>
        <w:jc w:val="center"/>
        <w:rPr>
          <w:rFonts w:ascii="宋体"/>
          <w:sz w:val="24"/>
        </w:rPr>
      </w:pPr>
      <w:r>
        <w:rPr>
          <w:rFonts w:hint="eastAsia" w:ascii="宋体" w:hAnsi="宋体"/>
          <w:sz w:val="24"/>
        </w:rPr>
        <w:t>报价单位（盖章）：</w:t>
      </w:r>
    </w:p>
    <w:p>
      <w:pPr>
        <w:ind w:firstLine="3000" w:firstLineChars="1250"/>
        <w:rPr>
          <w:rFonts w:ascii="宋体"/>
          <w:sz w:val="24"/>
        </w:rPr>
      </w:pPr>
      <w:r>
        <w:rPr>
          <w:rFonts w:ascii="宋体" w:hAnsi="宋体"/>
          <w:sz w:val="24"/>
        </w:rPr>
        <w:t xml:space="preserve"> </w:t>
      </w:r>
      <w:r>
        <w:rPr>
          <w:rFonts w:hint="eastAsia" w:ascii="宋体" w:hAnsi="宋体"/>
          <w:sz w:val="24"/>
        </w:rPr>
        <w:t>授权代表（签字）：</w:t>
      </w:r>
    </w:p>
    <w:p>
      <w:pPr>
        <w:ind w:firstLine="3120" w:firstLineChars="1300"/>
        <w:rPr>
          <w:rFonts w:ascii="宋体"/>
          <w:sz w:val="24"/>
        </w:rPr>
      </w:pPr>
      <w:r>
        <w:rPr>
          <w:rFonts w:hint="eastAsia" w:ascii="宋体" w:hAnsi="宋体"/>
          <w:sz w:val="24"/>
        </w:rPr>
        <w:t>时</w:t>
      </w:r>
      <w:r>
        <w:rPr>
          <w:rFonts w:ascii="宋体" w:hAnsi="宋体"/>
          <w:sz w:val="24"/>
        </w:rPr>
        <w:t xml:space="preserve">    </w:t>
      </w:r>
      <w:r>
        <w:rPr>
          <w:rFonts w:hint="eastAsia" w:ascii="宋体" w:hAnsi="宋体"/>
          <w:sz w:val="24"/>
        </w:rPr>
        <w:t>间：</w:t>
      </w:r>
    </w:p>
    <w:p>
      <w:pPr>
        <w:jc w:val="center"/>
        <w:rPr>
          <w:rFonts w:ascii="宋体"/>
          <w:sz w:val="24"/>
        </w:rPr>
      </w:pPr>
    </w:p>
    <w:p>
      <w:pPr>
        <w:spacing w:line="480" w:lineRule="auto"/>
        <w:rPr>
          <w:rFonts w:ascii="宋体"/>
          <w:b/>
          <w:bCs/>
          <w:sz w:val="32"/>
          <w:szCs w:val="32"/>
        </w:rPr>
      </w:pPr>
      <w:r>
        <w:rPr>
          <w:rFonts w:ascii="宋体"/>
          <w:b/>
          <w:sz w:val="32"/>
          <w:szCs w:val="32"/>
        </w:rPr>
        <w:br w:type="page"/>
      </w:r>
      <w:r>
        <w:rPr>
          <w:rFonts w:ascii="宋体" w:hAnsi="宋体"/>
          <w:b/>
          <w:bCs/>
          <w:sz w:val="32"/>
          <w:szCs w:val="32"/>
        </w:rPr>
        <w:t xml:space="preserve"> </w:t>
      </w:r>
      <w:r>
        <w:rPr>
          <w:rFonts w:hint="eastAsia" w:ascii="宋体" w:hAnsi="宋体"/>
          <w:b/>
          <w:bCs/>
          <w:sz w:val="32"/>
          <w:szCs w:val="32"/>
        </w:rPr>
        <w:t>附件三：</w:t>
      </w:r>
    </w:p>
    <w:p>
      <w:pPr>
        <w:spacing w:line="360" w:lineRule="auto"/>
        <w:jc w:val="center"/>
        <w:rPr>
          <w:rFonts w:ascii="宋体"/>
          <w:b/>
          <w:bCs/>
          <w:sz w:val="32"/>
          <w:szCs w:val="32"/>
        </w:rPr>
      </w:pPr>
      <w:r>
        <w:rPr>
          <w:rFonts w:hint="eastAsia" w:ascii="宋体" w:hAnsi="宋体"/>
          <w:b/>
          <w:bCs/>
          <w:sz w:val="32"/>
          <w:szCs w:val="32"/>
        </w:rPr>
        <w:t>法人代表授权书格式</w:t>
      </w:r>
    </w:p>
    <w:p>
      <w:pPr>
        <w:spacing w:line="540" w:lineRule="exact"/>
        <w:ind w:firstLine="480" w:firstLineChars="200"/>
        <w:rPr>
          <w:rFonts w:ascii="宋体"/>
          <w:sz w:val="24"/>
        </w:rPr>
      </w:pPr>
    </w:p>
    <w:p>
      <w:pPr>
        <w:spacing w:line="540" w:lineRule="exact"/>
        <w:rPr>
          <w:rFonts w:ascii="宋体"/>
          <w:sz w:val="24"/>
        </w:rPr>
      </w:pPr>
      <w:r>
        <w:rPr>
          <w:rFonts w:hint="eastAsia" w:ascii="宋体" w:hAnsi="宋体"/>
          <w:sz w:val="24"/>
        </w:rPr>
        <w:t>长江大学采购与招投标管理处：</w:t>
      </w:r>
    </w:p>
    <w:p>
      <w:pPr>
        <w:spacing w:line="540" w:lineRule="exact"/>
        <w:ind w:firstLine="480" w:firstLineChars="200"/>
        <w:rPr>
          <w:rFonts w:ascii="宋体"/>
          <w:sz w:val="24"/>
        </w:rPr>
      </w:pPr>
    </w:p>
    <w:p>
      <w:pPr>
        <w:spacing w:line="540" w:lineRule="exact"/>
        <w:ind w:firstLine="480" w:firstLineChars="200"/>
        <w:rPr>
          <w:rFonts w:ascii="宋体"/>
          <w:sz w:val="24"/>
        </w:rPr>
      </w:pPr>
      <w:r>
        <w:rPr>
          <w:rFonts w:hint="eastAsia" w:ascii="宋体" w:hAnsi="宋体"/>
          <w:sz w:val="24"/>
        </w:rPr>
        <w:t>我公司现委派</w:t>
      </w:r>
      <w:r>
        <w:rPr>
          <w:rFonts w:hint="eastAsia" w:ascii="宋体" w:hAnsi="宋体"/>
          <w:sz w:val="24"/>
          <w:u w:val="single"/>
        </w:rPr>
        <w:t>　　　　　　</w:t>
      </w:r>
      <w:r>
        <w:rPr>
          <w:rFonts w:ascii="宋体" w:hAnsi="宋体"/>
          <w:sz w:val="24"/>
          <w:u w:val="single"/>
        </w:rPr>
        <w:t xml:space="preserve">   </w:t>
      </w:r>
      <w:r>
        <w:rPr>
          <w:rFonts w:hint="eastAsia" w:ascii="宋体" w:hAnsi="宋体"/>
          <w:sz w:val="24"/>
        </w:rPr>
        <w:t>（被授权人姓名）参加你中心组织的竞争性磋商活动（磋商文件编号：</w:t>
      </w:r>
      <w:r>
        <w:rPr>
          <w:rFonts w:ascii="宋体" w:hAnsi="宋体"/>
          <w:sz w:val="24"/>
        </w:rPr>
        <w:t xml:space="preserve">        </w:t>
      </w:r>
      <w:r>
        <w:rPr>
          <w:rFonts w:hint="eastAsia" w:ascii="宋体" w:hAnsi="宋体"/>
          <w:sz w:val="24"/>
        </w:rPr>
        <w:t>），并全权代表我单位签署报价文件、签订合同及处理一切与该项目报价相关的事宜。</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本授权书于年月日起签字盖章生效。</w:t>
      </w:r>
    </w:p>
    <w:p>
      <w:pPr>
        <w:spacing w:line="540" w:lineRule="exact"/>
        <w:ind w:firstLine="480" w:firstLineChars="200"/>
        <w:rPr>
          <w:rFonts w:ascii="宋体"/>
          <w:sz w:val="24"/>
        </w:rPr>
      </w:pPr>
      <w:r>
        <w:rPr>
          <w:rFonts w:hint="eastAsia" w:ascii="宋体" w:hAnsi="宋体"/>
          <w:sz w:val="24"/>
        </w:rPr>
        <w:t>附被授权人情况</w:t>
      </w:r>
      <w:r>
        <w:rPr>
          <w:rFonts w:ascii="宋体" w:hAnsi="宋体"/>
          <w:sz w:val="24"/>
        </w:rPr>
        <w:t xml:space="preserve"> </w:t>
      </w:r>
      <w:r>
        <w:rPr>
          <w:rFonts w:hint="eastAsia" w:ascii="宋体" w:hAnsi="宋体"/>
          <w:sz w:val="24"/>
        </w:rPr>
        <w:t>：</w:t>
      </w:r>
      <w:r>
        <w:rPr>
          <w:rFonts w:ascii="宋体" w:hAnsi="宋体"/>
          <w:sz w:val="24"/>
        </w:rPr>
        <w:t xml:space="preserve"> </w:t>
      </w:r>
    </w:p>
    <w:p>
      <w:pPr>
        <w:spacing w:line="540" w:lineRule="exact"/>
        <w:ind w:firstLine="480" w:firstLineChars="200"/>
        <w:rPr>
          <w:rFonts w:ascii="宋体"/>
          <w:sz w:val="24"/>
        </w:rPr>
      </w:pPr>
    </w:p>
    <w:p>
      <w:pPr>
        <w:spacing w:line="540" w:lineRule="exact"/>
        <w:ind w:firstLine="480" w:firstLineChars="200"/>
        <w:rPr>
          <w:rFonts w:ascii="宋体"/>
          <w:sz w:val="24"/>
        </w:rPr>
      </w:pPr>
      <w:r>
        <w:rPr>
          <w:rFonts w:hint="eastAsia" w:ascii="宋体" w:hAnsi="宋体"/>
          <w:sz w:val="24"/>
        </w:rPr>
        <w:t>姓名：　　　　　　性别：</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身份证号码：</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职务：</w:t>
      </w:r>
    </w:p>
    <w:p>
      <w:pPr>
        <w:spacing w:line="540" w:lineRule="exact"/>
        <w:ind w:firstLine="480" w:firstLineChars="200"/>
        <w:rPr>
          <w:rFonts w:ascii="宋体"/>
          <w:sz w:val="24"/>
        </w:rPr>
      </w:pPr>
      <w:r>
        <w:rPr>
          <w:rFonts w:hint="eastAsia" w:ascii="宋体" w:hAnsi="宋体"/>
          <w:sz w:val="24"/>
        </w:rPr>
        <w:t>详细通讯地址：</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电话：　　　　　　传真：</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邮政编码：</w:t>
      </w:r>
      <w:r>
        <w:rPr>
          <w:rFonts w:ascii="宋体" w:hAnsi="宋体"/>
          <w:sz w:val="24"/>
        </w:rPr>
        <w:t xml:space="preserve"> </w:t>
      </w:r>
    </w:p>
    <w:p>
      <w:pPr>
        <w:spacing w:line="540" w:lineRule="exact"/>
        <w:ind w:firstLine="480" w:firstLineChars="200"/>
        <w:rPr>
          <w:rFonts w:ascii="宋体"/>
          <w:sz w:val="24"/>
        </w:rPr>
      </w:pPr>
    </w:p>
    <w:p>
      <w:pPr>
        <w:wordWrap w:val="0"/>
        <w:spacing w:line="540" w:lineRule="exact"/>
        <w:ind w:firstLine="480" w:firstLineChars="200"/>
        <w:jc w:val="right"/>
        <w:rPr>
          <w:rFonts w:ascii="宋体"/>
          <w:sz w:val="24"/>
        </w:rPr>
      </w:pPr>
      <w:r>
        <w:rPr>
          <w:rFonts w:hint="eastAsia" w:ascii="宋体" w:hAnsi="宋体"/>
          <w:sz w:val="24"/>
        </w:rPr>
        <w:t>授权单位名称（公章）</w:t>
      </w:r>
      <w:r>
        <w:rPr>
          <w:rFonts w:ascii="宋体" w:hAnsi="宋体"/>
          <w:sz w:val="24"/>
        </w:rPr>
        <w:t xml:space="preserve">            </w:t>
      </w:r>
    </w:p>
    <w:p>
      <w:pPr>
        <w:wordWrap w:val="0"/>
        <w:spacing w:line="540" w:lineRule="exact"/>
        <w:ind w:firstLine="480" w:firstLineChars="200"/>
        <w:jc w:val="right"/>
        <w:rPr>
          <w:rFonts w:ascii="宋体"/>
          <w:sz w:val="24"/>
        </w:rPr>
      </w:pPr>
      <w:r>
        <w:rPr>
          <w:rFonts w:hint="eastAsia" w:ascii="宋体" w:hAnsi="宋体"/>
          <w:sz w:val="24"/>
        </w:rPr>
        <w:t>法人代表（签章）</w:t>
      </w:r>
      <w:r>
        <w:rPr>
          <w:rFonts w:ascii="宋体" w:hAnsi="宋体"/>
          <w:sz w:val="24"/>
        </w:rPr>
        <w:t xml:space="preserve">            </w:t>
      </w:r>
    </w:p>
    <w:p>
      <w:pPr>
        <w:spacing w:line="480" w:lineRule="auto"/>
        <w:jc w:val="right"/>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p>
    <w:p>
      <w:pPr>
        <w:spacing w:line="480" w:lineRule="auto"/>
        <w:jc w:val="right"/>
        <w:rPr>
          <w:rFonts w:ascii="宋体"/>
          <w:sz w:val="24"/>
        </w:rPr>
      </w:pPr>
    </w:p>
    <w:p>
      <w:pPr>
        <w:spacing w:line="480" w:lineRule="auto"/>
        <w:jc w:val="right"/>
        <w:rPr>
          <w:rFonts w:ascii="宋体"/>
          <w:sz w:val="24"/>
        </w:rPr>
      </w:pPr>
    </w:p>
    <w:p>
      <w:pPr>
        <w:spacing w:line="480" w:lineRule="auto"/>
        <w:jc w:val="right"/>
        <w:rPr>
          <w:rFonts w:ascii="宋体"/>
          <w:sz w:val="24"/>
        </w:rPr>
      </w:pPr>
    </w:p>
    <w:p>
      <w:pPr>
        <w:spacing w:line="480" w:lineRule="auto"/>
        <w:jc w:val="right"/>
        <w:rPr>
          <w:rFonts w:ascii="宋体"/>
          <w:sz w:val="24"/>
        </w:rPr>
      </w:pPr>
    </w:p>
    <w:p>
      <w:pPr>
        <w:pStyle w:val="5"/>
        <w:spacing w:line="400" w:lineRule="exact"/>
        <w:ind w:firstLine="480" w:firstLineChars="200"/>
        <w:rPr>
          <w:rFonts w:ascii="宋体"/>
          <w:sz w:val="24"/>
        </w:rPr>
        <w:sectPr>
          <w:headerReference r:id="rId3" w:type="default"/>
          <w:pgSz w:w="11906" w:h="16838"/>
          <w:pgMar w:top="1134" w:right="1797" w:bottom="1134" w:left="1797" w:header="851" w:footer="992" w:gutter="0"/>
          <w:cols w:space="720" w:num="1"/>
          <w:docGrid w:type="lines" w:linePitch="312" w:charSpace="0"/>
        </w:sectPr>
      </w:pPr>
    </w:p>
    <w:p>
      <w:pPr>
        <w:spacing w:line="480" w:lineRule="auto"/>
        <w:rPr>
          <w:rFonts w:ascii="宋体"/>
          <w:b/>
          <w:sz w:val="32"/>
          <w:szCs w:val="32"/>
        </w:rPr>
      </w:pPr>
      <w:r>
        <w:rPr>
          <w:rFonts w:hint="eastAsia" w:ascii="宋体" w:hAnsi="宋体"/>
          <w:b/>
          <w:sz w:val="32"/>
          <w:szCs w:val="32"/>
        </w:rPr>
        <w:t>附件四</w:t>
      </w:r>
    </w:p>
    <w:p>
      <w:pPr>
        <w:spacing w:line="440" w:lineRule="exact"/>
        <w:ind w:firstLine="480" w:firstLineChars="200"/>
        <w:rPr>
          <w:rFonts w:ascii="宋体"/>
          <w:sz w:val="24"/>
        </w:rPr>
      </w:pPr>
    </w:p>
    <w:p>
      <w:pPr>
        <w:spacing w:line="520" w:lineRule="exact"/>
        <w:ind w:firstLine="560" w:firstLineChars="200"/>
        <w:rPr>
          <w:rFonts w:ascii="宋体"/>
          <w:sz w:val="28"/>
          <w:szCs w:val="28"/>
        </w:rPr>
      </w:pPr>
      <w:r>
        <w:rPr>
          <w:rFonts w:ascii="宋体" w:hAnsi="宋体"/>
          <w:sz w:val="28"/>
          <w:szCs w:val="28"/>
        </w:rPr>
        <w:t>1</w:t>
      </w:r>
      <w:r>
        <w:rPr>
          <w:rFonts w:hint="eastAsia" w:ascii="宋体" w:hAnsi="宋体"/>
          <w:sz w:val="28"/>
          <w:szCs w:val="28"/>
        </w:rPr>
        <w:t>、企业资质证明材料：营业执照等（副本复印件加盖公章）</w:t>
      </w:r>
    </w:p>
    <w:p>
      <w:pPr>
        <w:spacing w:line="520" w:lineRule="exact"/>
        <w:ind w:firstLine="560" w:firstLineChars="200"/>
        <w:rPr>
          <w:rFonts w:ascii="宋体"/>
          <w:sz w:val="28"/>
          <w:szCs w:val="28"/>
        </w:rPr>
      </w:pPr>
      <w:r>
        <w:rPr>
          <w:rFonts w:ascii="宋体" w:hAnsi="宋体"/>
          <w:sz w:val="28"/>
          <w:szCs w:val="28"/>
        </w:rPr>
        <w:t>2</w:t>
      </w:r>
      <w:r>
        <w:rPr>
          <w:rFonts w:hint="eastAsia" w:ascii="宋体" w:hAnsi="宋体"/>
          <w:sz w:val="28"/>
          <w:szCs w:val="28"/>
        </w:rPr>
        <w:t>、其它施工方认为应提供的资料。</w:t>
      </w:r>
    </w:p>
    <w:p>
      <w:pPr>
        <w:spacing w:after="240"/>
        <w:jc w:val="center"/>
        <w:rPr>
          <w:rFonts w:ascii="宋体"/>
        </w:rPr>
      </w:pPr>
    </w:p>
    <w:p>
      <w:pPr>
        <w:spacing w:after="240"/>
        <w:jc w:val="center"/>
        <w:rPr>
          <w:rFonts w:ascii="宋体"/>
        </w:rPr>
      </w:pPr>
    </w:p>
    <w:p>
      <w:pPr>
        <w:rPr>
          <w:rFonts w:ascii="宋体"/>
        </w:rPr>
      </w:pPr>
    </w:p>
    <w:p>
      <w:pPr>
        <w:rPr>
          <w:rFonts w:ascii="宋体"/>
        </w:rPr>
      </w:pPr>
    </w:p>
    <w:p>
      <w:pPr>
        <w:spacing w:line="540" w:lineRule="exact"/>
        <w:jc w:val="left"/>
        <w:rPr>
          <w:rFonts w:ascii="宋体"/>
          <w:b/>
          <w:bCs/>
          <w:kern w:val="44"/>
          <w:sz w:val="44"/>
          <w:szCs w:val="44"/>
        </w:rPr>
      </w:pPr>
    </w:p>
    <w:p>
      <w:pPr>
        <w:spacing w:line="540" w:lineRule="exact"/>
        <w:jc w:val="left"/>
        <w:rPr>
          <w:rFonts w:ascii="宋体"/>
          <w:b/>
          <w:bCs/>
          <w:kern w:val="44"/>
          <w:sz w:val="44"/>
          <w:szCs w:val="44"/>
        </w:rPr>
      </w:pPr>
    </w:p>
    <w:p>
      <w:pPr>
        <w:spacing w:line="540" w:lineRule="exact"/>
        <w:jc w:val="left"/>
        <w:rPr>
          <w:rFonts w:ascii="宋体"/>
          <w:b/>
          <w:bCs/>
          <w:kern w:val="44"/>
          <w:sz w:val="44"/>
          <w:szCs w:val="44"/>
        </w:rPr>
      </w:pPr>
    </w:p>
    <w:p>
      <w:pPr>
        <w:spacing w:line="540" w:lineRule="exact"/>
        <w:jc w:val="left"/>
        <w:rPr>
          <w:rFonts w:ascii="宋体"/>
          <w:b/>
          <w:bCs/>
          <w:kern w:val="44"/>
          <w:sz w:val="44"/>
          <w:szCs w:val="44"/>
        </w:rPr>
      </w:pPr>
    </w:p>
    <w:p>
      <w:pPr>
        <w:spacing w:line="540" w:lineRule="exact"/>
        <w:jc w:val="left"/>
        <w:rPr>
          <w:rFonts w:ascii="宋体"/>
          <w:b/>
          <w:bCs/>
          <w:kern w:val="44"/>
          <w:sz w:val="44"/>
          <w:szCs w:val="44"/>
        </w:rPr>
      </w:pPr>
    </w:p>
    <w:p>
      <w:pPr>
        <w:spacing w:line="540" w:lineRule="exact"/>
        <w:jc w:val="left"/>
        <w:rPr>
          <w:rFonts w:ascii="宋体"/>
          <w:b/>
          <w:bCs/>
          <w:kern w:val="44"/>
          <w:sz w:val="44"/>
          <w:szCs w:val="44"/>
        </w:rPr>
      </w:pPr>
    </w:p>
    <w:p>
      <w:pPr>
        <w:spacing w:line="540" w:lineRule="exact"/>
        <w:jc w:val="left"/>
        <w:rPr>
          <w:rFonts w:ascii="宋体"/>
          <w:b/>
          <w:bCs/>
          <w:kern w:val="44"/>
          <w:sz w:val="44"/>
          <w:szCs w:val="44"/>
        </w:rPr>
      </w:pPr>
    </w:p>
    <w:p>
      <w:pPr>
        <w:spacing w:line="540" w:lineRule="exact"/>
        <w:jc w:val="left"/>
        <w:rPr>
          <w:rFonts w:ascii="宋体"/>
          <w:b/>
          <w:bCs/>
          <w:kern w:val="44"/>
          <w:sz w:val="44"/>
          <w:szCs w:val="44"/>
        </w:rPr>
      </w:pPr>
    </w:p>
    <w:bookmarkEnd w:id="12"/>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spacing w:line="580" w:lineRule="exact"/>
        <w:jc w:val="center"/>
        <w:rPr>
          <w:rFonts w:ascii="宋体" w:hAnsi="宋体"/>
          <w:b/>
          <w:bCs/>
          <w:kern w:val="44"/>
          <w:sz w:val="44"/>
          <w:szCs w:val="44"/>
        </w:rPr>
      </w:pPr>
      <w:r>
        <w:rPr>
          <w:rFonts w:hint="eastAsia" w:ascii="宋体" w:hAnsi="宋体"/>
          <w:b/>
          <w:bCs/>
          <w:kern w:val="44"/>
          <w:sz w:val="44"/>
          <w:szCs w:val="44"/>
        </w:rPr>
        <w:t>第五章</w:t>
      </w:r>
      <w:r>
        <w:rPr>
          <w:rFonts w:ascii="宋体" w:hAnsi="宋体"/>
          <w:b/>
          <w:bCs/>
          <w:kern w:val="44"/>
          <w:sz w:val="44"/>
          <w:szCs w:val="44"/>
        </w:rPr>
        <w:t xml:space="preserve">   </w:t>
      </w:r>
      <w:r>
        <w:rPr>
          <w:rFonts w:hint="eastAsia" w:ascii="宋体" w:hAnsi="宋体"/>
          <w:b/>
          <w:bCs/>
          <w:kern w:val="44"/>
          <w:sz w:val="44"/>
          <w:szCs w:val="44"/>
        </w:rPr>
        <w:t>评标细则</w:t>
      </w:r>
    </w:p>
    <w:p>
      <w:pPr>
        <w:pStyle w:val="3"/>
        <w:spacing w:line="400" w:lineRule="exact"/>
        <w:rPr>
          <w:rFonts w:ascii="宋体" w:hAnsi="宋体"/>
          <w:sz w:val="28"/>
          <w:szCs w:val="24"/>
        </w:rPr>
      </w:pPr>
      <w:bookmarkStart w:id="18" w:name="_Toc307216520"/>
      <w:r>
        <w:rPr>
          <w:rFonts w:hint="eastAsia" w:ascii="宋体" w:hAnsi="宋体"/>
          <w:sz w:val="28"/>
          <w:szCs w:val="24"/>
        </w:rPr>
        <w:t>一、总则</w:t>
      </w:r>
      <w:bookmarkEnd w:id="18"/>
    </w:p>
    <w:p>
      <w:pPr>
        <w:spacing w:line="400" w:lineRule="exact"/>
        <w:ind w:firstLine="480"/>
        <w:rPr>
          <w:rFonts w:ascii="宋体"/>
          <w:sz w:val="24"/>
        </w:rPr>
      </w:pPr>
      <w:r>
        <w:rPr>
          <w:rFonts w:hint="eastAsia" w:ascii="宋体" w:hAnsi="宋体"/>
          <w:sz w:val="24"/>
        </w:rPr>
        <w:t>根据《中华人民共和国政府采购法》和财政部第</w:t>
      </w:r>
      <w:r>
        <w:rPr>
          <w:rFonts w:ascii="宋体" w:hAnsi="宋体"/>
          <w:sz w:val="24"/>
        </w:rPr>
        <w:t>18</w:t>
      </w:r>
      <w:r>
        <w:rPr>
          <w:rFonts w:hint="eastAsia" w:ascii="宋体" w:hAnsi="宋体"/>
          <w:sz w:val="24"/>
        </w:rPr>
        <w:t>号令颁布的《政府采购货物和服务招标投标管理办法》，并结合本项目特点制定本评标细则。</w:t>
      </w:r>
    </w:p>
    <w:p>
      <w:pPr>
        <w:pStyle w:val="3"/>
        <w:spacing w:before="120" w:after="120" w:line="360" w:lineRule="exact"/>
        <w:rPr>
          <w:rFonts w:asciiTheme="minorEastAsia" w:hAnsiTheme="minorEastAsia" w:eastAsiaTheme="minorEastAsia"/>
          <w:sz w:val="24"/>
          <w:szCs w:val="24"/>
        </w:rPr>
      </w:pPr>
      <w:bookmarkStart w:id="19" w:name="_Toc307216521"/>
      <w:r>
        <w:rPr>
          <w:rFonts w:asciiTheme="minorEastAsia" w:hAnsiTheme="minorEastAsia" w:eastAsiaTheme="minorEastAsia"/>
          <w:sz w:val="24"/>
          <w:szCs w:val="24"/>
        </w:rPr>
        <w:t>1</w:t>
      </w:r>
      <w:r>
        <w:rPr>
          <w:rFonts w:hint="eastAsia" w:asciiTheme="minorEastAsia" w:hAnsiTheme="minorEastAsia" w:eastAsiaTheme="minorEastAsia"/>
          <w:sz w:val="24"/>
          <w:szCs w:val="24"/>
        </w:rPr>
        <w:t>、评标小组</w:t>
      </w:r>
      <w:bookmarkEnd w:id="19"/>
    </w:p>
    <w:p>
      <w:pPr>
        <w:spacing w:line="400" w:lineRule="exact"/>
        <w:ind w:firstLine="480"/>
        <w:rPr>
          <w:rFonts w:ascii="宋体"/>
          <w:sz w:val="24"/>
        </w:rPr>
      </w:pPr>
      <w:r>
        <w:rPr>
          <w:rFonts w:ascii="宋体" w:hAnsi="宋体"/>
          <w:sz w:val="24"/>
        </w:rPr>
        <w:t>1</w:t>
      </w:r>
      <w:r>
        <w:rPr>
          <w:rFonts w:ascii="宋体"/>
          <w:bCs/>
          <w:sz w:val="24"/>
        </w:rPr>
        <w:t>.</w:t>
      </w:r>
      <w:r>
        <w:rPr>
          <w:rFonts w:ascii="宋体" w:hAnsi="宋体"/>
          <w:sz w:val="24"/>
        </w:rPr>
        <w:t xml:space="preserve">1 </w:t>
      </w:r>
      <w:r>
        <w:rPr>
          <w:rFonts w:hint="eastAsia" w:ascii="宋体" w:hAnsi="宋体"/>
          <w:sz w:val="24"/>
        </w:rPr>
        <w:t>本次评标按照政府采购程序依法组建评标小组，其成员由技术专家、经济专家、招标方代表等</w:t>
      </w:r>
      <w:r>
        <w:rPr>
          <w:rFonts w:ascii="宋体" w:hAnsi="宋体"/>
          <w:sz w:val="24"/>
        </w:rPr>
        <w:t>5</w:t>
      </w:r>
      <w:r>
        <w:rPr>
          <w:rFonts w:hint="eastAsia" w:ascii="宋体" w:hAnsi="宋体"/>
          <w:sz w:val="24"/>
        </w:rPr>
        <w:t>人及以上单数组成。</w:t>
      </w:r>
    </w:p>
    <w:p>
      <w:pPr>
        <w:spacing w:line="400" w:lineRule="exact"/>
        <w:ind w:firstLine="480"/>
        <w:rPr>
          <w:rFonts w:ascii="宋体"/>
          <w:sz w:val="24"/>
        </w:rPr>
      </w:pPr>
      <w:r>
        <w:rPr>
          <w:rFonts w:ascii="宋体" w:hAnsi="宋体"/>
          <w:sz w:val="24"/>
        </w:rPr>
        <w:t>1</w:t>
      </w:r>
      <w:r>
        <w:rPr>
          <w:rFonts w:ascii="宋体"/>
          <w:bCs/>
          <w:sz w:val="24"/>
        </w:rPr>
        <w:t>.</w:t>
      </w:r>
      <w:r>
        <w:rPr>
          <w:rFonts w:ascii="宋体" w:hAnsi="宋体"/>
          <w:sz w:val="24"/>
        </w:rPr>
        <w:t xml:space="preserve">2 </w:t>
      </w:r>
      <w:r>
        <w:rPr>
          <w:rFonts w:hint="eastAsia" w:ascii="宋体" w:hAnsi="宋体"/>
          <w:sz w:val="24"/>
        </w:rPr>
        <w:t>评标小组对投标文件进行审查、质疑、评审和比较，并负责提出中标候选人名单交采购人最终确认中标人。</w:t>
      </w:r>
    </w:p>
    <w:p>
      <w:pPr>
        <w:spacing w:line="400" w:lineRule="exact"/>
        <w:ind w:firstLine="480"/>
        <w:rPr>
          <w:rFonts w:ascii="宋体"/>
          <w:sz w:val="24"/>
        </w:rPr>
      </w:pPr>
      <w:r>
        <w:rPr>
          <w:rFonts w:ascii="宋体" w:hAnsi="宋体"/>
          <w:sz w:val="24"/>
        </w:rPr>
        <w:t>1</w:t>
      </w:r>
      <w:r>
        <w:rPr>
          <w:rFonts w:ascii="宋体"/>
          <w:bCs/>
          <w:sz w:val="24"/>
        </w:rPr>
        <w:t>.</w:t>
      </w:r>
      <w:r>
        <w:rPr>
          <w:rFonts w:ascii="宋体" w:hAnsi="宋体"/>
          <w:sz w:val="24"/>
        </w:rPr>
        <w:t xml:space="preserve">3 </w:t>
      </w:r>
      <w:r>
        <w:rPr>
          <w:rFonts w:hint="eastAsia" w:ascii="宋体" w:hAnsi="宋体"/>
          <w:sz w:val="24"/>
        </w:rPr>
        <w:t>评标小组完成评标后，提出书面评标报告并由评标小组全体成员签字，按规定报相关行政主管部门备案。</w:t>
      </w:r>
    </w:p>
    <w:p>
      <w:pPr>
        <w:pStyle w:val="4"/>
        <w:spacing w:line="400" w:lineRule="exact"/>
        <w:ind w:firstLine="480"/>
        <w:rPr>
          <w:rFonts w:ascii="宋体"/>
          <w:sz w:val="24"/>
          <w:szCs w:val="24"/>
        </w:rPr>
      </w:pPr>
      <w:r>
        <w:rPr>
          <w:rFonts w:ascii="宋体" w:hAnsi="宋体"/>
          <w:sz w:val="24"/>
          <w:szCs w:val="24"/>
        </w:rPr>
        <w:t>1</w:t>
      </w:r>
      <w:r>
        <w:rPr>
          <w:rFonts w:ascii="宋体"/>
          <w:bCs/>
          <w:sz w:val="24"/>
          <w:szCs w:val="24"/>
        </w:rPr>
        <w:t>.</w:t>
      </w:r>
      <w:r>
        <w:rPr>
          <w:rFonts w:ascii="宋体" w:hAnsi="宋体"/>
          <w:sz w:val="24"/>
          <w:szCs w:val="24"/>
        </w:rPr>
        <w:t xml:space="preserve">4 </w:t>
      </w:r>
      <w:r>
        <w:rPr>
          <w:rFonts w:hint="eastAsia" w:ascii="宋体" w:hAnsi="宋体"/>
          <w:sz w:val="24"/>
          <w:szCs w:val="24"/>
        </w:rPr>
        <w:t>接受有关监督部门对评标进行全过程监督。</w:t>
      </w:r>
    </w:p>
    <w:p>
      <w:pPr>
        <w:pStyle w:val="3"/>
        <w:spacing w:before="120" w:after="120" w:line="360" w:lineRule="exact"/>
        <w:rPr>
          <w:rFonts w:asciiTheme="minorEastAsia" w:hAnsiTheme="minorEastAsia" w:eastAsiaTheme="minorEastAsia"/>
          <w:sz w:val="24"/>
          <w:szCs w:val="24"/>
        </w:rPr>
      </w:pPr>
      <w:bookmarkStart w:id="20" w:name="_Toc307216522"/>
      <w:r>
        <w:rPr>
          <w:rFonts w:asciiTheme="minorEastAsia" w:hAnsiTheme="minorEastAsia" w:eastAsiaTheme="minorEastAsia"/>
          <w:sz w:val="24"/>
          <w:szCs w:val="24"/>
        </w:rPr>
        <w:t>2</w:t>
      </w:r>
      <w:r>
        <w:rPr>
          <w:rFonts w:hint="eastAsia" w:asciiTheme="minorEastAsia" w:hAnsiTheme="minorEastAsia" w:eastAsiaTheme="minorEastAsia"/>
          <w:sz w:val="24"/>
          <w:szCs w:val="24"/>
        </w:rPr>
        <w:t>、评标原则</w:t>
      </w:r>
      <w:bookmarkEnd w:id="20"/>
    </w:p>
    <w:p>
      <w:pPr>
        <w:spacing w:line="400" w:lineRule="exact"/>
        <w:ind w:firstLine="482"/>
        <w:rPr>
          <w:rFonts w:ascii="宋体"/>
          <w:sz w:val="24"/>
        </w:rPr>
      </w:pPr>
      <w:r>
        <w:rPr>
          <w:rFonts w:ascii="宋体" w:hAnsi="宋体"/>
          <w:sz w:val="24"/>
        </w:rPr>
        <w:t>2</w:t>
      </w:r>
      <w:r>
        <w:rPr>
          <w:rFonts w:ascii="宋体"/>
          <w:bCs/>
          <w:sz w:val="24"/>
        </w:rPr>
        <w:t>.</w:t>
      </w:r>
      <w:r>
        <w:rPr>
          <w:rFonts w:ascii="宋体" w:hAnsi="宋体"/>
          <w:sz w:val="24"/>
        </w:rPr>
        <w:t xml:space="preserve">1 </w:t>
      </w:r>
      <w:r>
        <w:rPr>
          <w:rFonts w:hint="eastAsia" w:ascii="宋体" w:hAnsi="宋体"/>
          <w:sz w:val="24"/>
        </w:rPr>
        <w:t>评标遵循公平、公正、科学及择优的原则。</w:t>
      </w:r>
    </w:p>
    <w:p>
      <w:pPr>
        <w:spacing w:line="400" w:lineRule="exact"/>
        <w:ind w:firstLine="482"/>
        <w:rPr>
          <w:rFonts w:ascii="宋体"/>
          <w:sz w:val="24"/>
        </w:rPr>
      </w:pPr>
      <w:r>
        <w:rPr>
          <w:rFonts w:ascii="宋体" w:hAnsi="宋体"/>
          <w:sz w:val="24"/>
        </w:rPr>
        <w:t>2</w:t>
      </w:r>
      <w:r>
        <w:rPr>
          <w:rFonts w:ascii="宋体"/>
          <w:bCs/>
          <w:sz w:val="24"/>
        </w:rPr>
        <w:t>.</w:t>
      </w:r>
      <w:r>
        <w:rPr>
          <w:rFonts w:ascii="宋体" w:hAnsi="宋体"/>
          <w:sz w:val="24"/>
        </w:rPr>
        <w:t xml:space="preserve">2 </w:t>
      </w:r>
      <w:r>
        <w:rPr>
          <w:rFonts w:hint="eastAsia" w:ascii="宋体" w:hAnsi="宋体"/>
          <w:sz w:val="24"/>
        </w:rPr>
        <w:t>评标严格按照《中华人民共和国政府采购法》及实施条例的规定，以及招标文件的要求进行。</w:t>
      </w:r>
    </w:p>
    <w:p>
      <w:pPr>
        <w:pStyle w:val="3"/>
        <w:spacing w:before="120" w:after="120" w:line="360" w:lineRule="exact"/>
        <w:rPr>
          <w:rFonts w:asciiTheme="minorEastAsia" w:hAnsiTheme="minorEastAsia" w:eastAsiaTheme="minorEastAsia"/>
          <w:sz w:val="24"/>
          <w:szCs w:val="24"/>
        </w:rPr>
      </w:pPr>
      <w:bookmarkStart w:id="21" w:name="_Toc307216523"/>
      <w:r>
        <w:rPr>
          <w:rFonts w:asciiTheme="minorEastAsia" w:hAnsiTheme="minorEastAsia" w:eastAsiaTheme="minorEastAsia"/>
          <w:sz w:val="24"/>
          <w:szCs w:val="24"/>
        </w:rPr>
        <w:t>3</w:t>
      </w:r>
      <w:r>
        <w:rPr>
          <w:rFonts w:hint="eastAsia" w:asciiTheme="minorEastAsia" w:hAnsiTheme="minorEastAsia" w:eastAsiaTheme="minorEastAsia"/>
          <w:sz w:val="24"/>
          <w:szCs w:val="24"/>
        </w:rPr>
        <w:t>、评标方法</w:t>
      </w:r>
      <w:bookmarkEnd w:id="21"/>
    </w:p>
    <w:p>
      <w:pPr>
        <w:pStyle w:val="4"/>
        <w:spacing w:line="400" w:lineRule="exact"/>
        <w:ind w:firstLine="480" w:firstLineChars="200"/>
        <w:rPr>
          <w:rFonts w:ascii="宋体"/>
          <w:b/>
          <w:sz w:val="24"/>
          <w:szCs w:val="24"/>
        </w:rPr>
      </w:pPr>
      <w:r>
        <w:rPr>
          <w:rFonts w:hint="eastAsia" w:ascii="宋体" w:hAnsi="宋体"/>
          <w:sz w:val="24"/>
          <w:szCs w:val="24"/>
        </w:rPr>
        <w:t>采用综合评分法：评标小组综合考虑商务及技术各方面的因素，以综合评分法进行评审，按其实质性响应的合理报价最大限度地满足招标文件要求并能圆满地履行合同原则，在评标报告中根据报价得分的排名确定磋商候选人，评标小组与磋商候选人进行商务磋商并进行第二次报价，依据综合评分法确定中标候选人</w:t>
      </w:r>
      <w:r>
        <w:rPr>
          <w:rFonts w:hint="eastAsia" w:ascii="宋体" w:hAnsi="宋体"/>
          <w:b/>
          <w:sz w:val="24"/>
          <w:szCs w:val="24"/>
        </w:rPr>
        <w:t>。</w:t>
      </w:r>
    </w:p>
    <w:p>
      <w:pPr>
        <w:pStyle w:val="3"/>
        <w:spacing w:before="120" w:after="120" w:line="360" w:lineRule="exact"/>
        <w:rPr>
          <w:rFonts w:asciiTheme="minorEastAsia" w:hAnsiTheme="minorEastAsia" w:eastAsiaTheme="minorEastAsia"/>
          <w:sz w:val="24"/>
          <w:szCs w:val="24"/>
        </w:rPr>
      </w:pPr>
      <w:bookmarkStart w:id="22" w:name="_Toc307216524"/>
      <w:r>
        <w:rPr>
          <w:rFonts w:asciiTheme="minorEastAsia" w:hAnsiTheme="minorEastAsia" w:eastAsiaTheme="minorEastAsia"/>
          <w:sz w:val="24"/>
          <w:szCs w:val="24"/>
        </w:rPr>
        <w:t>4</w:t>
      </w:r>
      <w:r>
        <w:rPr>
          <w:rFonts w:hint="eastAsia" w:asciiTheme="minorEastAsia" w:hAnsiTheme="minorEastAsia" w:eastAsiaTheme="minorEastAsia"/>
          <w:sz w:val="24"/>
          <w:szCs w:val="24"/>
        </w:rPr>
        <w:t>、投标文件的审查和响应性的确定</w:t>
      </w:r>
      <w:bookmarkEnd w:id="22"/>
    </w:p>
    <w:p>
      <w:pPr>
        <w:spacing w:line="400" w:lineRule="exact"/>
        <w:ind w:firstLine="480"/>
        <w:rPr>
          <w:rFonts w:ascii="宋体"/>
          <w:sz w:val="24"/>
        </w:rPr>
      </w:pPr>
      <w:r>
        <w:rPr>
          <w:rFonts w:ascii="宋体" w:hAnsi="宋体"/>
          <w:sz w:val="24"/>
        </w:rPr>
        <w:t xml:space="preserve">4.1 </w:t>
      </w:r>
      <w:r>
        <w:rPr>
          <w:rFonts w:hint="eastAsia" w:ascii="宋体" w:hAnsi="宋体"/>
          <w:sz w:val="24"/>
        </w:rPr>
        <w:t>评标小组将审查投标文件是否完整，是否有计算错误，要求的保证金是否已有效提供，</w:t>
      </w:r>
      <w:r>
        <w:rPr>
          <w:rFonts w:hint="eastAsia" w:ascii="宋体" w:hAnsi="宋体" w:cs="宋体-18030"/>
          <w:sz w:val="24"/>
        </w:rPr>
        <w:t>文件签署、盖章是否合格等</w:t>
      </w:r>
      <w:r>
        <w:rPr>
          <w:rFonts w:hint="eastAsia" w:ascii="宋体" w:hAnsi="宋体"/>
          <w:sz w:val="24"/>
        </w:rPr>
        <w:t>。</w:t>
      </w:r>
    </w:p>
    <w:p>
      <w:pPr>
        <w:spacing w:line="400" w:lineRule="exact"/>
        <w:ind w:firstLine="480"/>
        <w:rPr>
          <w:rFonts w:ascii="宋体"/>
          <w:sz w:val="24"/>
        </w:rPr>
      </w:pPr>
      <w:r>
        <w:rPr>
          <w:rFonts w:ascii="宋体" w:hAnsi="宋体"/>
          <w:sz w:val="24"/>
        </w:rPr>
        <w:t xml:space="preserve">4.2 </w:t>
      </w:r>
      <w:r>
        <w:rPr>
          <w:rFonts w:hint="eastAsia" w:ascii="宋体" w:hAnsi="宋体"/>
          <w:sz w:val="24"/>
        </w:rPr>
        <w:t>评委将确定每一投标人是否对评标文件的要求作出了实质性的响应，而没有重大偏离。实质性响应的投标是指投标符合评标文件的所有条款、条件和规定且没有重大偏离或保留。重大偏离或保留系指影响到评标文件规定的供货范围、质量和性能，或限制了招标采购单位的权力和投标人的义务的规定，而纠正这些偏离将影响到其他提交实质性响应投标的投标人的公平竞争地位。</w:t>
      </w:r>
    </w:p>
    <w:p>
      <w:pPr>
        <w:spacing w:line="400" w:lineRule="exact"/>
        <w:ind w:firstLine="480"/>
        <w:rPr>
          <w:rFonts w:ascii="宋体"/>
          <w:sz w:val="24"/>
        </w:rPr>
      </w:pPr>
      <w:r>
        <w:rPr>
          <w:rFonts w:ascii="宋体" w:hAnsi="宋体"/>
          <w:sz w:val="24"/>
        </w:rPr>
        <w:t xml:space="preserve">4.3 </w:t>
      </w:r>
      <w:r>
        <w:rPr>
          <w:rFonts w:hint="eastAsia" w:ascii="宋体" w:hAnsi="宋体"/>
          <w:sz w:val="24"/>
        </w:rPr>
        <w:t>评委判断投标文件的响应性仅基于投标文件本身而不靠外部证据。</w:t>
      </w:r>
    </w:p>
    <w:p>
      <w:pPr>
        <w:pStyle w:val="4"/>
        <w:spacing w:line="400" w:lineRule="exact"/>
        <w:ind w:firstLine="480"/>
        <w:rPr>
          <w:rFonts w:ascii="宋体"/>
          <w:sz w:val="24"/>
          <w:szCs w:val="24"/>
        </w:rPr>
      </w:pPr>
      <w:r>
        <w:rPr>
          <w:rFonts w:ascii="宋体" w:hAnsi="宋体"/>
          <w:sz w:val="24"/>
          <w:szCs w:val="24"/>
        </w:rPr>
        <w:t xml:space="preserve">4.4 </w:t>
      </w:r>
      <w:r>
        <w:rPr>
          <w:rFonts w:hint="eastAsia" w:ascii="宋体" w:hAnsi="宋体"/>
          <w:sz w:val="24"/>
          <w:szCs w:val="24"/>
        </w:rPr>
        <w:t>评委有权拒绝被确定为非实质性响应的投标，投标人不能通过修正或撤销不符之处而使其投标成为实质性响应的投标。</w:t>
      </w:r>
    </w:p>
    <w:p>
      <w:pPr>
        <w:pStyle w:val="3"/>
        <w:spacing w:before="120" w:after="120" w:line="360" w:lineRule="exact"/>
        <w:rPr>
          <w:rFonts w:asciiTheme="minorEastAsia" w:hAnsiTheme="minorEastAsia" w:eastAsiaTheme="minorEastAsia"/>
          <w:sz w:val="24"/>
          <w:szCs w:val="24"/>
        </w:rPr>
      </w:pPr>
      <w:bookmarkStart w:id="23" w:name="_Toc307216525"/>
      <w:r>
        <w:rPr>
          <w:rFonts w:asciiTheme="minorEastAsia" w:hAnsiTheme="minorEastAsia" w:eastAsiaTheme="minorEastAsia"/>
          <w:sz w:val="24"/>
          <w:szCs w:val="24"/>
        </w:rPr>
        <w:t>5</w:t>
      </w:r>
      <w:r>
        <w:rPr>
          <w:rFonts w:hint="eastAsia" w:asciiTheme="minorEastAsia" w:hAnsiTheme="minorEastAsia" w:eastAsiaTheme="minorEastAsia"/>
          <w:sz w:val="24"/>
          <w:szCs w:val="24"/>
        </w:rPr>
        <w:t>、投标文件的澄清</w:t>
      </w:r>
      <w:bookmarkEnd w:id="23"/>
    </w:p>
    <w:p>
      <w:pPr>
        <w:spacing w:line="400" w:lineRule="exact"/>
        <w:ind w:firstLine="480"/>
        <w:rPr>
          <w:rFonts w:ascii="宋体"/>
          <w:sz w:val="24"/>
        </w:rPr>
      </w:pPr>
      <w:r>
        <w:rPr>
          <w:rFonts w:ascii="宋体" w:hAnsi="宋体"/>
          <w:sz w:val="24"/>
        </w:rPr>
        <w:t>5</w:t>
      </w:r>
      <w:r>
        <w:rPr>
          <w:rFonts w:ascii="宋体"/>
          <w:bCs/>
          <w:sz w:val="24"/>
        </w:rPr>
        <w:t>.</w:t>
      </w:r>
      <w:r>
        <w:rPr>
          <w:rFonts w:ascii="宋体" w:hAnsi="宋体"/>
          <w:sz w:val="24"/>
        </w:rPr>
        <w:t xml:space="preserve">1 </w:t>
      </w:r>
      <w:r>
        <w:rPr>
          <w:rFonts w:hint="eastAsia" w:ascii="宋体" w:hAnsi="宋体"/>
          <w:sz w:val="24"/>
        </w:rPr>
        <w:t>在评标期间，评标小组可要求投标人对其投标文件进行澄清，但澄清的要求和答复不得对投标价格等实质性内容做任何改变。有关澄清的要求和答</w:t>
      </w:r>
      <w:r>
        <w:rPr>
          <w:rFonts w:hint="eastAsia" w:ascii="宋体" w:hAnsi="宋体"/>
          <w:spacing w:val="10"/>
          <w:sz w:val="24"/>
        </w:rPr>
        <w:t>复应以书面形式提交。</w:t>
      </w:r>
      <w:r>
        <w:rPr>
          <w:rFonts w:hint="eastAsia" w:ascii="宋体" w:hAnsi="宋体"/>
          <w:sz w:val="24"/>
        </w:rPr>
        <w:t>投标人须按照通知的时间、地点指派专人进行答疑和澄清。</w:t>
      </w:r>
    </w:p>
    <w:p>
      <w:pPr>
        <w:spacing w:line="400" w:lineRule="exact"/>
        <w:ind w:firstLine="482"/>
        <w:rPr>
          <w:rFonts w:ascii="宋体"/>
          <w:sz w:val="24"/>
        </w:rPr>
      </w:pPr>
      <w:r>
        <w:rPr>
          <w:rFonts w:ascii="宋体" w:hAnsi="宋体"/>
          <w:sz w:val="24"/>
        </w:rPr>
        <w:t>5</w:t>
      </w:r>
      <w:r>
        <w:rPr>
          <w:rFonts w:ascii="宋体"/>
          <w:bCs/>
          <w:sz w:val="24"/>
        </w:rPr>
        <w:t>.</w:t>
      </w:r>
      <w:r>
        <w:rPr>
          <w:rFonts w:ascii="宋体" w:hAnsi="宋体"/>
          <w:sz w:val="24"/>
        </w:rPr>
        <w:t xml:space="preserve">2 </w:t>
      </w:r>
      <w:r>
        <w:rPr>
          <w:rFonts w:hint="eastAsia" w:ascii="宋体" w:hAnsi="宋体"/>
          <w:sz w:val="24"/>
        </w:rPr>
        <w:t>投标人对评标小组的询问不作答复时（投标人不能在规定时间内提供有效证明文件亦视为对评标小组的询问不作答复），或提供的证明文件不足以证明其合理性的，评标小组在评审时将按不利于投标人的情形认定。</w:t>
      </w:r>
    </w:p>
    <w:p>
      <w:pPr>
        <w:pStyle w:val="3"/>
        <w:spacing w:before="120" w:after="120" w:line="360" w:lineRule="exact"/>
        <w:rPr>
          <w:rFonts w:asciiTheme="minorEastAsia" w:hAnsiTheme="minorEastAsia" w:eastAsiaTheme="minorEastAsia"/>
          <w:sz w:val="24"/>
          <w:szCs w:val="24"/>
        </w:rPr>
      </w:pPr>
      <w:bookmarkStart w:id="24" w:name="_Toc307216526"/>
      <w:r>
        <w:rPr>
          <w:rFonts w:asciiTheme="minorEastAsia" w:hAnsiTheme="minorEastAsia" w:eastAsiaTheme="minorEastAsia"/>
          <w:sz w:val="24"/>
          <w:szCs w:val="24"/>
        </w:rPr>
        <w:t>6</w:t>
      </w:r>
      <w:r>
        <w:rPr>
          <w:rFonts w:hint="eastAsia" w:asciiTheme="minorEastAsia" w:hAnsiTheme="minorEastAsia" w:eastAsiaTheme="minorEastAsia"/>
          <w:sz w:val="24"/>
          <w:szCs w:val="24"/>
        </w:rPr>
        <w:t>、错误的修改</w:t>
      </w:r>
      <w:bookmarkEnd w:id="24"/>
    </w:p>
    <w:p>
      <w:pPr>
        <w:spacing w:line="400" w:lineRule="exact"/>
        <w:ind w:right="53" w:firstLine="480"/>
        <w:rPr>
          <w:rFonts w:ascii="宋体"/>
          <w:sz w:val="24"/>
        </w:rPr>
      </w:pPr>
      <w:r>
        <w:rPr>
          <w:rFonts w:ascii="宋体" w:hAnsi="宋体"/>
          <w:sz w:val="24"/>
        </w:rPr>
        <w:t xml:space="preserve">6.1 </w:t>
      </w:r>
      <w:r>
        <w:rPr>
          <w:rFonts w:hint="eastAsia" w:ascii="宋体" w:hAnsi="宋体"/>
          <w:sz w:val="24"/>
        </w:rPr>
        <w:t>评委会将对确定为实质上响应的投标进行审核，看其是否有计算上和累加上的算术错误，修正错误的原则如下：</w:t>
      </w:r>
    </w:p>
    <w:p>
      <w:pPr>
        <w:spacing w:line="400" w:lineRule="exact"/>
        <w:ind w:right="53" w:firstLine="480"/>
        <w:rPr>
          <w:rFonts w:ascii="宋体"/>
          <w:sz w:val="24"/>
        </w:rPr>
      </w:pPr>
      <w:r>
        <w:rPr>
          <w:rFonts w:hint="eastAsia" w:ascii="宋体" w:hAnsi="宋体"/>
          <w:sz w:val="24"/>
        </w:rPr>
        <w:t>（</w:t>
      </w:r>
      <w:r>
        <w:rPr>
          <w:rFonts w:ascii="宋体" w:hAnsi="宋体"/>
          <w:sz w:val="24"/>
        </w:rPr>
        <w:t>1</w:t>
      </w:r>
      <w:r>
        <w:rPr>
          <w:rFonts w:hint="eastAsia" w:ascii="宋体" w:hAnsi="宋体"/>
          <w:sz w:val="24"/>
        </w:rPr>
        <w:t>）如果用数字表示的金额和用文字表示的金额不一致，应以文字表示的金额为准。</w:t>
      </w:r>
    </w:p>
    <w:p>
      <w:pPr>
        <w:spacing w:line="400" w:lineRule="exact"/>
        <w:ind w:right="53" w:firstLine="480"/>
        <w:rPr>
          <w:rFonts w:ascii="宋体"/>
          <w:sz w:val="24"/>
        </w:rPr>
      </w:pPr>
      <w:r>
        <w:rPr>
          <w:rFonts w:hint="eastAsia" w:ascii="宋体" w:hAnsi="宋体"/>
          <w:sz w:val="24"/>
        </w:rPr>
        <w:t>（</w:t>
      </w:r>
      <w:r>
        <w:rPr>
          <w:rFonts w:ascii="宋体" w:hAnsi="宋体"/>
          <w:sz w:val="24"/>
        </w:rPr>
        <w:t>2</w:t>
      </w:r>
      <w:r>
        <w:rPr>
          <w:rFonts w:hint="eastAsia" w:ascii="宋体" w:hAnsi="宋体"/>
          <w:sz w:val="24"/>
        </w:rPr>
        <w:t>）当单价和数量的乘积和总价不一致时，以单价为准，并修正总价。</w:t>
      </w:r>
    </w:p>
    <w:p>
      <w:pPr>
        <w:spacing w:line="400" w:lineRule="exact"/>
        <w:ind w:right="53" w:firstLine="480"/>
        <w:rPr>
          <w:rFonts w:ascii="宋体"/>
          <w:sz w:val="24"/>
        </w:rPr>
      </w:pPr>
      <w:r>
        <w:rPr>
          <w:rFonts w:hint="eastAsia" w:ascii="宋体" w:hAnsi="宋体"/>
          <w:sz w:val="24"/>
        </w:rPr>
        <w:t>（</w:t>
      </w:r>
      <w:r>
        <w:rPr>
          <w:rFonts w:ascii="宋体" w:hAnsi="宋体"/>
          <w:sz w:val="24"/>
        </w:rPr>
        <w:t>3</w:t>
      </w:r>
      <w:r>
        <w:rPr>
          <w:rFonts w:hint="eastAsia" w:ascii="宋体" w:hAnsi="宋体"/>
          <w:sz w:val="24"/>
        </w:rPr>
        <w:t>）单价金额小数点有明显错误的，以总价为准，修正单价。</w:t>
      </w:r>
    </w:p>
    <w:p>
      <w:pPr>
        <w:spacing w:line="400" w:lineRule="exact"/>
        <w:ind w:right="53" w:firstLine="480"/>
        <w:rPr>
          <w:rFonts w:ascii="宋体"/>
          <w:sz w:val="24"/>
        </w:rPr>
      </w:pPr>
      <w:r>
        <w:rPr>
          <w:rFonts w:ascii="宋体" w:hAnsi="宋体"/>
          <w:sz w:val="24"/>
        </w:rPr>
        <w:t xml:space="preserve">6.2 </w:t>
      </w:r>
      <w:r>
        <w:rPr>
          <w:rFonts w:hint="eastAsia" w:ascii="宋体" w:hAnsi="宋体"/>
          <w:sz w:val="24"/>
        </w:rPr>
        <w:t>评委会将按上述修正错误的方法调整投标文件中的报价，调整后的价格应对投标人具有约束力。如果投标人不接受修正后的价格，则其投标将被拒绝。</w:t>
      </w:r>
    </w:p>
    <w:p>
      <w:pPr>
        <w:pStyle w:val="4"/>
        <w:spacing w:line="400" w:lineRule="exact"/>
        <w:ind w:firstLine="480"/>
        <w:rPr>
          <w:rFonts w:ascii="宋体"/>
          <w:sz w:val="24"/>
          <w:szCs w:val="24"/>
        </w:rPr>
      </w:pPr>
      <w:r>
        <w:rPr>
          <w:rFonts w:ascii="宋体" w:hAnsi="宋体"/>
          <w:sz w:val="24"/>
          <w:szCs w:val="24"/>
        </w:rPr>
        <w:t xml:space="preserve">6.3 </w:t>
      </w:r>
      <w:r>
        <w:rPr>
          <w:rFonts w:hint="eastAsia" w:ascii="宋体" w:hAnsi="宋体"/>
          <w:sz w:val="24"/>
          <w:szCs w:val="24"/>
        </w:rPr>
        <w:t>评委会将允许修正投标文件中不构成重大偏离的、微小的、非正规的、不一致的或不规则的地方，但这些修正不能影响任何投标人相应的名次排列。</w:t>
      </w:r>
    </w:p>
    <w:p>
      <w:pPr>
        <w:pStyle w:val="3"/>
        <w:spacing w:before="120" w:after="120" w:line="360" w:lineRule="exact"/>
        <w:rPr>
          <w:rFonts w:asciiTheme="minorEastAsia" w:hAnsiTheme="minorEastAsia" w:eastAsiaTheme="minorEastAsia"/>
          <w:sz w:val="24"/>
          <w:szCs w:val="24"/>
        </w:rPr>
      </w:pPr>
      <w:bookmarkStart w:id="25" w:name="_Toc307216527"/>
      <w:r>
        <w:rPr>
          <w:rFonts w:asciiTheme="minorEastAsia" w:hAnsiTheme="minorEastAsia" w:eastAsiaTheme="minorEastAsia"/>
          <w:sz w:val="24"/>
          <w:szCs w:val="24"/>
        </w:rPr>
        <w:t>7</w:t>
      </w:r>
      <w:r>
        <w:rPr>
          <w:rFonts w:hint="eastAsia" w:asciiTheme="minorEastAsia" w:hAnsiTheme="minorEastAsia" w:eastAsiaTheme="minorEastAsia"/>
          <w:sz w:val="24"/>
          <w:szCs w:val="24"/>
        </w:rPr>
        <w:t>、重大偏差</w:t>
      </w:r>
      <w:bookmarkEnd w:id="25"/>
    </w:p>
    <w:p>
      <w:pPr>
        <w:spacing w:line="400" w:lineRule="exact"/>
        <w:ind w:firstLine="480"/>
        <w:rPr>
          <w:rFonts w:ascii="宋体"/>
          <w:sz w:val="24"/>
        </w:rPr>
      </w:pPr>
      <w:r>
        <w:rPr>
          <w:rFonts w:hint="eastAsia" w:ascii="宋体" w:hAnsi="宋体" w:cs="仿宋_GB2312"/>
          <w:sz w:val="24"/>
          <w:lang w:val="zh-CN"/>
        </w:rPr>
        <w:t>若存在以下重大偏差，作无效投标处理：</w:t>
      </w:r>
    </w:p>
    <w:p>
      <w:pPr>
        <w:spacing w:line="400" w:lineRule="exact"/>
        <w:ind w:left="2" w:firstLine="480"/>
        <w:rPr>
          <w:rFonts w:ascii="宋体" w:hAnsi="宋体"/>
          <w:sz w:val="24"/>
        </w:rPr>
      </w:pPr>
      <w:r>
        <w:rPr>
          <w:rFonts w:ascii="宋体" w:hAnsi="宋体"/>
          <w:sz w:val="24"/>
        </w:rPr>
        <w:t xml:space="preserve">7.1 </w:t>
      </w:r>
      <w:r>
        <w:rPr>
          <w:rFonts w:hint="eastAsia" w:ascii="宋体" w:hAnsi="宋体"/>
          <w:sz w:val="24"/>
        </w:rPr>
        <w:t>投标函、法定代表人授权书、开标一览表没有按招标文件的规定和要求签字或盖章。</w:t>
      </w:r>
    </w:p>
    <w:p>
      <w:pPr>
        <w:spacing w:line="400" w:lineRule="exact"/>
        <w:ind w:left="2" w:firstLine="480"/>
        <w:rPr>
          <w:rFonts w:ascii="宋体"/>
          <w:sz w:val="24"/>
        </w:rPr>
      </w:pPr>
      <w:r>
        <w:rPr>
          <w:rFonts w:ascii="宋体" w:hAnsi="宋体"/>
          <w:sz w:val="24"/>
        </w:rPr>
        <w:t xml:space="preserve">7.2 </w:t>
      </w:r>
      <w:r>
        <w:rPr>
          <w:rFonts w:hint="eastAsia" w:ascii="宋体" w:hAnsi="宋体"/>
          <w:sz w:val="24"/>
        </w:rPr>
        <w:t>投标人投标资格不符合国家有关规定和招标文件要求。</w:t>
      </w:r>
    </w:p>
    <w:p>
      <w:pPr>
        <w:spacing w:line="400" w:lineRule="exact"/>
        <w:ind w:left="2" w:firstLine="480"/>
        <w:rPr>
          <w:rFonts w:ascii="宋体"/>
          <w:sz w:val="24"/>
        </w:rPr>
      </w:pPr>
      <w:r>
        <w:rPr>
          <w:rFonts w:ascii="宋体" w:hAnsi="宋体"/>
          <w:sz w:val="24"/>
        </w:rPr>
        <w:t xml:space="preserve">7.3 </w:t>
      </w:r>
      <w:r>
        <w:rPr>
          <w:rFonts w:hint="eastAsia" w:ascii="宋体" w:hAnsi="宋体"/>
          <w:sz w:val="24"/>
        </w:rPr>
        <w:t>投标文件载明的项目到货时间超过招标文件要求。</w:t>
      </w:r>
    </w:p>
    <w:p>
      <w:pPr>
        <w:spacing w:line="400" w:lineRule="exact"/>
        <w:ind w:left="2" w:firstLine="480"/>
        <w:rPr>
          <w:rFonts w:ascii="宋体"/>
          <w:sz w:val="24"/>
        </w:rPr>
      </w:pPr>
      <w:r>
        <w:rPr>
          <w:rFonts w:ascii="宋体" w:hAnsi="宋体"/>
          <w:sz w:val="24"/>
        </w:rPr>
        <w:t xml:space="preserve">7.4 </w:t>
      </w:r>
      <w:r>
        <w:rPr>
          <w:rFonts w:hint="eastAsia" w:ascii="宋体" w:hAnsi="宋体"/>
          <w:sz w:val="24"/>
        </w:rPr>
        <w:t>付款方式不满足招标文件要求；</w:t>
      </w:r>
    </w:p>
    <w:p>
      <w:pPr>
        <w:spacing w:line="400" w:lineRule="exact"/>
        <w:ind w:firstLine="480"/>
        <w:rPr>
          <w:rFonts w:ascii="宋体"/>
          <w:sz w:val="24"/>
        </w:rPr>
      </w:pPr>
      <w:r>
        <w:rPr>
          <w:rFonts w:ascii="宋体" w:hAnsi="宋体"/>
          <w:sz w:val="24"/>
        </w:rPr>
        <w:t xml:space="preserve">7.5 </w:t>
      </w:r>
      <w:r>
        <w:rPr>
          <w:rFonts w:hint="eastAsia" w:ascii="宋体" w:hAnsi="宋体"/>
          <w:sz w:val="24"/>
        </w:rPr>
        <w:t>对招标文件提供的计量单位、数量及工作内容有不属于招标文件评标细则第</w:t>
      </w:r>
      <w:r>
        <w:rPr>
          <w:rFonts w:ascii="宋体" w:hAnsi="宋体"/>
          <w:sz w:val="24"/>
        </w:rPr>
        <w:t>8</w:t>
      </w:r>
      <w:r>
        <w:rPr>
          <w:rFonts w:hint="eastAsia" w:ascii="宋体" w:hAnsi="宋体"/>
          <w:sz w:val="24"/>
        </w:rPr>
        <w:t>条细微偏差范围的实质性修改。</w:t>
      </w:r>
    </w:p>
    <w:p>
      <w:pPr>
        <w:spacing w:line="400" w:lineRule="exact"/>
        <w:ind w:firstLine="480"/>
        <w:rPr>
          <w:rFonts w:ascii="宋体"/>
          <w:sz w:val="24"/>
        </w:rPr>
      </w:pPr>
      <w:r>
        <w:rPr>
          <w:rFonts w:ascii="宋体" w:hAnsi="宋体"/>
          <w:sz w:val="24"/>
        </w:rPr>
        <w:t>7.6</w:t>
      </w:r>
      <w:r>
        <w:rPr>
          <w:rFonts w:hint="eastAsia" w:ascii="宋体" w:hAnsi="宋体"/>
          <w:sz w:val="24"/>
        </w:rPr>
        <w:t>投标产品的技术规格、技术标准明显不符合招标项目的要求。</w:t>
      </w:r>
    </w:p>
    <w:p>
      <w:pPr>
        <w:spacing w:line="400" w:lineRule="exact"/>
        <w:ind w:firstLine="480"/>
        <w:rPr>
          <w:rFonts w:ascii="宋体"/>
          <w:sz w:val="24"/>
        </w:rPr>
      </w:pPr>
      <w:r>
        <w:rPr>
          <w:rFonts w:ascii="宋体" w:hAnsi="宋体"/>
          <w:sz w:val="24"/>
        </w:rPr>
        <w:t xml:space="preserve">7.7 </w:t>
      </w:r>
      <w:r>
        <w:rPr>
          <w:rFonts w:hint="eastAsia" w:ascii="宋体" w:hAnsi="宋体"/>
          <w:sz w:val="24"/>
        </w:rPr>
        <w:t>投标文件中附有采购人不能接受的条件。</w:t>
      </w:r>
    </w:p>
    <w:p>
      <w:pPr>
        <w:pStyle w:val="4"/>
        <w:spacing w:line="400" w:lineRule="exact"/>
        <w:ind w:firstLine="480"/>
        <w:rPr>
          <w:rFonts w:ascii="宋体"/>
          <w:sz w:val="24"/>
          <w:szCs w:val="24"/>
        </w:rPr>
      </w:pPr>
      <w:r>
        <w:rPr>
          <w:rFonts w:ascii="宋体" w:hAnsi="宋体"/>
          <w:sz w:val="24"/>
          <w:szCs w:val="24"/>
        </w:rPr>
        <w:t xml:space="preserve">7.8 </w:t>
      </w:r>
      <w:r>
        <w:rPr>
          <w:rFonts w:hint="eastAsia" w:ascii="宋体" w:hAnsi="宋体"/>
          <w:sz w:val="24"/>
          <w:szCs w:val="24"/>
        </w:rPr>
        <w:t>不符合招标文件规定的其他实质性要求。</w:t>
      </w:r>
    </w:p>
    <w:p>
      <w:pPr>
        <w:pStyle w:val="3"/>
        <w:spacing w:before="120" w:after="120" w:line="360" w:lineRule="exact"/>
        <w:rPr>
          <w:rFonts w:asciiTheme="minorEastAsia" w:hAnsiTheme="minorEastAsia" w:eastAsiaTheme="minorEastAsia"/>
          <w:sz w:val="24"/>
          <w:szCs w:val="24"/>
        </w:rPr>
      </w:pPr>
      <w:bookmarkStart w:id="26" w:name="_Toc307216528"/>
      <w:r>
        <w:rPr>
          <w:rFonts w:asciiTheme="minorEastAsia" w:hAnsiTheme="minorEastAsia" w:eastAsiaTheme="minorEastAsia"/>
          <w:sz w:val="24"/>
          <w:szCs w:val="24"/>
        </w:rPr>
        <w:t>8</w:t>
      </w:r>
      <w:r>
        <w:rPr>
          <w:rFonts w:hint="eastAsia" w:asciiTheme="minorEastAsia" w:hAnsiTheme="minorEastAsia" w:eastAsiaTheme="minorEastAsia"/>
          <w:sz w:val="24"/>
          <w:szCs w:val="24"/>
        </w:rPr>
        <w:t>、细微偏差</w:t>
      </w:r>
      <w:bookmarkEnd w:id="26"/>
    </w:p>
    <w:p>
      <w:pPr>
        <w:spacing w:line="400" w:lineRule="exact"/>
        <w:ind w:firstLine="480"/>
        <w:rPr>
          <w:rFonts w:ascii="宋体"/>
          <w:sz w:val="24"/>
        </w:rPr>
      </w:pPr>
      <w:r>
        <w:rPr>
          <w:rFonts w:ascii="宋体" w:hAnsi="宋体"/>
          <w:sz w:val="24"/>
        </w:rPr>
        <w:t xml:space="preserve">8.1 </w:t>
      </w:r>
      <w:r>
        <w:rPr>
          <w:rFonts w:hint="eastAsia" w:ascii="宋体" w:hAnsi="宋体"/>
          <w:sz w:val="24"/>
        </w:rPr>
        <w:t>细微偏差是指投标文件在实质上响应招标文件的要求，但在个别地方存在提供了不完整的技术信息和数据情况，并且补正这些不完整信息不会对其他投标人的竞争地位造成不公平的结果。</w:t>
      </w:r>
    </w:p>
    <w:p>
      <w:pPr>
        <w:spacing w:line="400" w:lineRule="exact"/>
        <w:ind w:firstLine="480"/>
        <w:rPr>
          <w:rFonts w:ascii="宋体"/>
          <w:sz w:val="24"/>
        </w:rPr>
      </w:pPr>
      <w:r>
        <w:rPr>
          <w:rFonts w:ascii="宋体" w:hAnsi="宋体"/>
          <w:sz w:val="24"/>
        </w:rPr>
        <w:t xml:space="preserve">8.2 </w:t>
      </w:r>
      <w:r>
        <w:rPr>
          <w:rFonts w:hint="eastAsia" w:ascii="宋体" w:hAnsi="宋体"/>
          <w:sz w:val="24"/>
        </w:rPr>
        <w:t>细微偏差应满足的条件：</w:t>
      </w:r>
    </w:p>
    <w:p>
      <w:pPr>
        <w:spacing w:line="400" w:lineRule="exact"/>
        <w:ind w:firstLine="480"/>
        <w:rPr>
          <w:rFonts w:ascii="宋体"/>
          <w:sz w:val="24"/>
        </w:rPr>
      </w:pPr>
      <w:r>
        <w:rPr>
          <w:rFonts w:ascii="宋体" w:hAnsi="宋体"/>
          <w:sz w:val="24"/>
        </w:rPr>
        <w:t xml:space="preserve">8.2.1 </w:t>
      </w:r>
      <w:r>
        <w:rPr>
          <w:rFonts w:hint="eastAsia" w:ascii="宋体" w:hAnsi="宋体"/>
          <w:sz w:val="24"/>
        </w:rPr>
        <w:t>在形式上的而不是实质上的，属于非实质性的缺陷，可以对缺陷进行更正，或者允许缺陷的存在并不会对其他投标人造成实质性影响；</w:t>
      </w:r>
    </w:p>
    <w:p>
      <w:pPr>
        <w:spacing w:line="400" w:lineRule="exact"/>
        <w:ind w:firstLine="480"/>
        <w:rPr>
          <w:rFonts w:ascii="宋体"/>
          <w:sz w:val="24"/>
        </w:rPr>
      </w:pPr>
      <w:r>
        <w:rPr>
          <w:rFonts w:ascii="宋体" w:hAnsi="宋体"/>
          <w:sz w:val="24"/>
        </w:rPr>
        <w:t xml:space="preserve">8.2.2 </w:t>
      </w:r>
      <w:r>
        <w:rPr>
          <w:rFonts w:hint="eastAsia" w:ascii="宋体" w:hAnsi="宋体"/>
          <w:sz w:val="24"/>
        </w:rPr>
        <w:t>偏差对价格、质量、工期等的影响同整个合同的条款相比是微不足道的，并不会对其他投标人造成实质性影响；</w:t>
      </w:r>
    </w:p>
    <w:p>
      <w:pPr>
        <w:spacing w:line="400" w:lineRule="exact"/>
        <w:ind w:firstLine="480"/>
        <w:rPr>
          <w:rFonts w:ascii="宋体"/>
          <w:sz w:val="24"/>
        </w:rPr>
      </w:pPr>
      <w:r>
        <w:rPr>
          <w:rFonts w:ascii="宋体" w:hAnsi="宋体"/>
          <w:sz w:val="24"/>
        </w:rPr>
        <w:t xml:space="preserve">8.2.3 </w:t>
      </w:r>
      <w:r>
        <w:rPr>
          <w:rFonts w:hint="eastAsia" w:ascii="宋体" w:hAnsi="宋体"/>
          <w:sz w:val="24"/>
        </w:rPr>
        <w:t>偏差对投标文件的法律效力不构成影响；</w:t>
      </w:r>
    </w:p>
    <w:p>
      <w:pPr>
        <w:pStyle w:val="4"/>
        <w:spacing w:line="400" w:lineRule="exact"/>
        <w:ind w:firstLine="480"/>
        <w:rPr>
          <w:rFonts w:ascii="宋体"/>
          <w:sz w:val="24"/>
          <w:szCs w:val="24"/>
        </w:rPr>
      </w:pPr>
      <w:r>
        <w:rPr>
          <w:rFonts w:ascii="宋体" w:hAnsi="宋体"/>
          <w:sz w:val="24"/>
          <w:szCs w:val="24"/>
        </w:rPr>
        <w:t xml:space="preserve">8.3 </w:t>
      </w:r>
      <w:r>
        <w:rPr>
          <w:rFonts w:hint="eastAsia" w:ascii="宋体" w:hAnsi="宋体"/>
          <w:sz w:val="24"/>
          <w:szCs w:val="24"/>
        </w:rPr>
        <w:t>评标小组应当要求存在细微偏差的投标人在评标结束前予以补正，拒不补正的，在详细评审时可以对细微偏差作不利于该投标人的量化。在判别是否属于细微偏差时的一个重要考虑是，违规行为是否给该投标人带来实质性的优势，而其他投标人则未享其利。细微偏差由评标小组认定。</w:t>
      </w:r>
    </w:p>
    <w:p>
      <w:pPr>
        <w:pStyle w:val="3"/>
        <w:spacing w:before="120" w:after="120" w:line="360" w:lineRule="exact"/>
        <w:rPr>
          <w:rFonts w:asciiTheme="minorEastAsia" w:hAnsiTheme="minorEastAsia" w:eastAsiaTheme="minorEastAsia"/>
          <w:sz w:val="24"/>
          <w:szCs w:val="24"/>
        </w:rPr>
      </w:pPr>
      <w:bookmarkStart w:id="27" w:name="_Toc307216529"/>
      <w:r>
        <w:rPr>
          <w:rFonts w:asciiTheme="minorEastAsia" w:hAnsiTheme="minorEastAsia" w:eastAsiaTheme="minorEastAsia"/>
          <w:sz w:val="24"/>
          <w:szCs w:val="24"/>
        </w:rPr>
        <w:t>9</w:t>
      </w:r>
      <w:r>
        <w:rPr>
          <w:rFonts w:hint="eastAsia" w:asciiTheme="minorEastAsia" w:hAnsiTheme="minorEastAsia" w:eastAsiaTheme="minorEastAsia"/>
          <w:sz w:val="24"/>
          <w:szCs w:val="24"/>
        </w:rPr>
        <w:t>、投标文件的评估和比较</w:t>
      </w:r>
      <w:bookmarkEnd w:id="27"/>
    </w:p>
    <w:p>
      <w:pPr>
        <w:tabs>
          <w:tab w:val="left" w:pos="7665"/>
        </w:tabs>
        <w:spacing w:line="400" w:lineRule="exact"/>
        <w:ind w:firstLine="482"/>
        <w:rPr>
          <w:rFonts w:ascii="宋体"/>
          <w:sz w:val="24"/>
        </w:rPr>
      </w:pPr>
      <w:r>
        <w:rPr>
          <w:rFonts w:ascii="宋体" w:hAnsi="宋体"/>
          <w:sz w:val="24"/>
        </w:rPr>
        <w:t xml:space="preserve">9.1 </w:t>
      </w:r>
      <w:r>
        <w:rPr>
          <w:rFonts w:hint="eastAsia" w:ascii="宋体" w:hAnsi="宋体"/>
          <w:sz w:val="24"/>
        </w:rPr>
        <w:t>评委会只对确定为实质性响应招标文件要求的投标文件进行评审和比较。</w:t>
      </w:r>
    </w:p>
    <w:p>
      <w:pPr>
        <w:tabs>
          <w:tab w:val="left" w:pos="7665"/>
        </w:tabs>
        <w:spacing w:line="400" w:lineRule="exact"/>
        <w:ind w:firstLine="482"/>
        <w:rPr>
          <w:rFonts w:ascii="宋体"/>
          <w:sz w:val="24"/>
        </w:rPr>
      </w:pPr>
      <w:r>
        <w:rPr>
          <w:rFonts w:ascii="宋体" w:hAnsi="宋体"/>
          <w:sz w:val="24"/>
        </w:rPr>
        <w:t xml:space="preserve">9.2 </w:t>
      </w:r>
      <w:r>
        <w:rPr>
          <w:rFonts w:hint="eastAsia" w:ascii="宋体" w:hAnsi="宋体"/>
          <w:sz w:val="24"/>
        </w:rPr>
        <w:t>评审和比较的主要因素是：价格、技术、财务状况、信誉、业绩、服务、现场陈述、对招标文件的响应程度。</w:t>
      </w:r>
    </w:p>
    <w:p>
      <w:pPr>
        <w:pStyle w:val="3"/>
        <w:spacing w:line="400" w:lineRule="exact"/>
        <w:rPr>
          <w:rFonts w:ascii="宋体" w:hAnsi="宋体"/>
          <w:sz w:val="28"/>
          <w:szCs w:val="24"/>
        </w:rPr>
      </w:pPr>
      <w:r>
        <w:rPr>
          <w:rFonts w:hint="eastAsia" w:ascii="宋体" w:hAnsi="宋体"/>
          <w:sz w:val="28"/>
          <w:szCs w:val="24"/>
        </w:rPr>
        <w:t>二、评审及磋商程序</w:t>
      </w:r>
    </w:p>
    <w:p>
      <w:pPr>
        <w:pStyle w:val="4"/>
        <w:spacing w:line="400" w:lineRule="exact"/>
        <w:ind w:firstLine="480" w:firstLineChars="200"/>
        <w:rPr>
          <w:rFonts w:ascii="宋体"/>
          <w:sz w:val="24"/>
          <w:szCs w:val="24"/>
        </w:rPr>
      </w:pPr>
      <w:r>
        <w:rPr>
          <w:rFonts w:hint="eastAsia" w:ascii="宋体" w:hAnsi="宋体"/>
          <w:sz w:val="24"/>
          <w:szCs w:val="24"/>
        </w:rPr>
        <w:t>本项目评标程序分为资格及符合性审查、详细评审、磋商、二次报价、推荐中标候选人、撰写评标报告。</w:t>
      </w:r>
    </w:p>
    <w:p>
      <w:pPr>
        <w:pStyle w:val="3"/>
        <w:spacing w:before="120" w:after="120"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1、资格及符合性审查。</w:t>
      </w:r>
    </w:p>
    <w:p>
      <w:pPr>
        <w:spacing w:line="400" w:lineRule="exact"/>
        <w:ind w:firstLine="480"/>
        <w:rPr>
          <w:rFonts w:ascii="宋体"/>
          <w:sz w:val="24"/>
        </w:rPr>
      </w:pPr>
      <w:r>
        <w:rPr>
          <w:rFonts w:hint="eastAsia" w:ascii="宋体" w:hAnsi="宋体"/>
          <w:sz w:val="24"/>
        </w:rPr>
        <w:t>1.</w:t>
      </w:r>
      <w:r>
        <w:rPr>
          <w:rFonts w:ascii="宋体" w:hAnsi="宋体"/>
          <w:sz w:val="24"/>
        </w:rPr>
        <w:t>1</w:t>
      </w:r>
      <w:r>
        <w:rPr>
          <w:rFonts w:hint="eastAsia" w:ascii="宋体" w:hAnsi="宋体"/>
          <w:sz w:val="24"/>
        </w:rPr>
        <w:t>、资格性审查</w:t>
      </w:r>
    </w:p>
    <w:p>
      <w:pPr>
        <w:spacing w:line="400" w:lineRule="exact"/>
        <w:ind w:firstLine="480"/>
        <w:rPr>
          <w:rFonts w:ascii="宋体"/>
          <w:sz w:val="24"/>
        </w:rPr>
      </w:pPr>
      <w:r>
        <w:rPr>
          <w:rFonts w:hint="eastAsia" w:ascii="宋体" w:hAnsi="宋体"/>
          <w:sz w:val="24"/>
        </w:rPr>
        <w:t>资格性审查是依据法律法规和招标文件的规定，对投标文件中的资格证明、投标保证金等进行审查，以确定投标人是否具备投标资格。</w:t>
      </w:r>
    </w:p>
    <w:p>
      <w:pPr>
        <w:spacing w:line="400" w:lineRule="exact"/>
        <w:ind w:firstLine="480"/>
        <w:rPr>
          <w:rFonts w:ascii="宋体"/>
          <w:sz w:val="24"/>
        </w:rPr>
      </w:pPr>
      <w:r>
        <w:rPr>
          <w:rFonts w:hint="eastAsia" w:ascii="宋体" w:hAnsi="宋体"/>
          <w:sz w:val="24"/>
        </w:rPr>
        <w:t>1.</w:t>
      </w:r>
      <w:r>
        <w:rPr>
          <w:rFonts w:ascii="宋体" w:hAnsi="宋体"/>
          <w:sz w:val="24"/>
        </w:rPr>
        <w:t>2</w:t>
      </w:r>
      <w:r>
        <w:rPr>
          <w:rFonts w:hint="eastAsia" w:ascii="宋体" w:hAnsi="宋体"/>
          <w:sz w:val="24"/>
        </w:rPr>
        <w:t>、符合性审查</w:t>
      </w:r>
    </w:p>
    <w:p>
      <w:pPr>
        <w:spacing w:line="400" w:lineRule="exact"/>
        <w:ind w:firstLine="480"/>
        <w:rPr>
          <w:rFonts w:ascii="宋体"/>
          <w:sz w:val="24"/>
        </w:rPr>
      </w:pPr>
      <w:r>
        <w:rPr>
          <w:rFonts w:hint="eastAsia" w:ascii="宋体" w:hAnsi="宋体"/>
          <w:sz w:val="24"/>
        </w:rPr>
        <w:t>依据招标文件的规定，对投标文件的有效性、完整性和对招标文件的响应程度进行审查，以确定是否对招标文件的实质性要求作出响应。</w:t>
      </w:r>
    </w:p>
    <w:p>
      <w:pPr>
        <w:snapToGrid w:val="0"/>
        <w:spacing w:line="400" w:lineRule="exact"/>
        <w:ind w:firstLine="480" w:firstLineChars="200"/>
        <w:rPr>
          <w:rFonts w:ascii="宋体"/>
          <w:sz w:val="24"/>
        </w:rPr>
      </w:pPr>
      <w:r>
        <w:rPr>
          <w:rFonts w:hint="eastAsia" w:ascii="宋体" w:hAnsi="宋体"/>
          <w:sz w:val="24"/>
        </w:rPr>
        <w:t>资格性和符合性审查结论为不合格的不进入下一步的评审。</w:t>
      </w:r>
    </w:p>
    <w:p>
      <w:pPr>
        <w:pStyle w:val="3"/>
        <w:spacing w:before="120" w:after="120"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2、详细评审：</w:t>
      </w:r>
    </w:p>
    <w:p>
      <w:pPr>
        <w:spacing w:line="400" w:lineRule="exact"/>
        <w:ind w:firstLine="480" w:firstLineChars="200"/>
        <w:rPr>
          <w:rFonts w:ascii="宋体"/>
          <w:sz w:val="24"/>
        </w:rPr>
      </w:pPr>
      <w:r>
        <w:rPr>
          <w:rFonts w:hint="eastAsia" w:ascii="宋体" w:hAnsi="宋体"/>
          <w:sz w:val="24"/>
        </w:rPr>
        <w:t>2.</w:t>
      </w:r>
      <w:r>
        <w:rPr>
          <w:rFonts w:ascii="宋体" w:hAnsi="宋体"/>
          <w:sz w:val="24"/>
        </w:rPr>
        <w:t>1</w:t>
      </w:r>
      <w:r>
        <w:rPr>
          <w:rFonts w:hint="eastAsia" w:ascii="宋体" w:hAnsi="宋体"/>
          <w:sz w:val="24"/>
        </w:rPr>
        <w:t>、成立评标小组。评标小组由项目主管部门的代表、有关专家共3人及以上单数组成，其中专家的人数不少于三分之二。</w:t>
      </w:r>
    </w:p>
    <w:p>
      <w:pPr>
        <w:spacing w:line="400" w:lineRule="exact"/>
        <w:ind w:firstLine="480" w:firstLineChars="200"/>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、评标。按照报价得分计算办法计算各有效投标人的报价得分。</w:t>
      </w:r>
    </w:p>
    <w:p>
      <w:pPr>
        <w:spacing w:line="400" w:lineRule="exact"/>
        <w:ind w:firstLine="480" w:firstLineChars="200"/>
        <w:rPr>
          <w:rFonts w:ascii="宋体"/>
          <w:sz w:val="24"/>
        </w:rPr>
      </w:pPr>
      <w:r>
        <w:rPr>
          <w:rFonts w:hint="eastAsia" w:ascii="宋体" w:hAnsi="宋体"/>
          <w:sz w:val="24"/>
        </w:rPr>
        <w:t>2.3、确定磋商候选人。按分数从高到低确定最多七名磋商候选人。</w:t>
      </w:r>
    </w:p>
    <w:p>
      <w:pPr>
        <w:pStyle w:val="3"/>
        <w:spacing w:before="120" w:after="120"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3、磋商</w:t>
      </w:r>
    </w:p>
    <w:p>
      <w:pPr>
        <w:spacing w:line="360" w:lineRule="auto"/>
        <w:ind w:right="31" w:rightChars="15" w:firstLine="480" w:firstLineChars="200"/>
        <w:rPr>
          <w:rFonts w:ascii="宋体" w:hAnsi="宋体"/>
          <w:sz w:val="24"/>
        </w:rPr>
      </w:pPr>
      <w:r>
        <w:rPr>
          <w:rFonts w:hint="eastAsia" w:ascii="宋体" w:hAnsi="宋体"/>
          <w:sz w:val="24"/>
        </w:rPr>
        <w:t>评标委员会与磋商候选人人分别就符合对本项目的质量、工期、安全、造价等进行磋商。</w:t>
      </w:r>
    </w:p>
    <w:p>
      <w:pPr>
        <w:pStyle w:val="3"/>
        <w:spacing w:before="120" w:after="120"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4、最终报价及确定中标候选人</w:t>
      </w:r>
    </w:p>
    <w:p>
      <w:pPr>
        <w:spacing w:line="360" w:lineRule="auto"/>
        <w:ind w:right="31" w:rightChars="15" w:firstLine="480" w:firstLineChars="200"/>
        <w:rPr>
          <w:rFonts w:ascii="宋体" w:hAnsi="宋体"/>
          <w:sz w:val="24"/>
        </w:rPr>
      </w:pPr>
      <w:r>
        <w:rPr>
          <w:rFonts w:hint="eastAsia" w:ascii="宋体" w:hAnsi="宋体"/>
          <w:sz w:val="24"/>
        </w:rPr>
        <w:t>投标人根据磋商情况进行最终报价，密封递交评标委员会。评标委员会按有效报价重新计算报价得分，结合商务标和技术标得分，汇总后推荐中标候选人。中标人的最终报价作为中标价。</w:t>
      </w:r>
    </w:p>
    <w:p>
      <w:pPr>
        <w:pStyle w:val="3"/>
        <w:spacing w:before="120" w:after="120"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5、评标报告</w:t>
      </w:r>
    </w:p>
    <w:p>
      <w:pPr>
        <w:spacing w:line="360" w:lineRule="auto"/>
        <w:ind w:right="31" w:rightChars="15" w:firstLine="480" w:firstLineChars="200"/>
        <w:rPr>
          <w:rFonts w:ascii="宋体"/>
          <w:sz w:val="24"/>
        </w:rPr>
      </w:pPr>
      <w:r>
        <w:rPr>
          <w:rFonts w:hint="eastAsia" w:ascii="宋体" w:hAnsi="宋体"/>
          <w:sz w:val="24"/>
        </w:rPr>
        <w:t>评标委员会起草评标报告，内容包括评标方法和过程、投标人的优劣对比分析、评标结果和基本结论、存在的问题和不同意见。</w:t>
      </w:r>
    </w:p>
    <w:p>
      <w:pPr>
        <w:pStyle w:val="3"/>
        <w:spacing w:line="400" w:lineRule="exact"/>
        <w:rPr>
          <w:rFonts w:ascii="宋体" w:hAnsi="宋体"/>
          <w:sz w:val="28"/>
          <w:szCs w:val="24"/>
        </w:rPr>
      </w:pPr>
      <w:bookmarkStart w:id="28" w:name="_Toc234123098"/>
      <w:bookmarkStart w:id="29" w:name="_Toc307216534"/>
      <w:r>
        <w:rPr>
          <w:rFonts w:hint="eastAsia" w:ascii="宋体" w:hAnsi="宋体"/>
          <w:sz w:val="28"/>
          <w:szCs w:val="24"/>
        </w:rPr>
        <w:t>三、评标专家在评标活动中承担的义务</w:t>
      </w:r>
      <w:bookmarkEnd w:id="28"/>
      <w:bookmarkEnd w:id="29"/>
      <w:r>
        <w:rPr>
          <w:rFonts w:ascii="宋体" w:hAnsi="宋体"/>
          <w:sz w:val="28"/>
          <w:szCs w:val="24"/>
        </w:rPr>
        <w:t xml:space="preserve">             </w:t>
      </w:r>
    </w:p>
    <w:p>
      <w:pPr>
        <w:widowControl/>
        <w:spacing w:line="400" w:lineRule="exact"/>
        <w:ind w:firstLine="480" w:firstLineChars="200"/>
        <w:textAlignment w:val="bottom"/>
        <w:rPr>
          <w:rFonts w:ascii="宋体"/>
          <w:sz w:val="24"/>
        </w:rPr>
      </w:pPr>
      <w:r>
        <w:rPr>
          <w:rFonts w:ascii="宋体" w:hAnsi="宋体"/>
          <w:sz w:val="24"/>
        </w:rPr>
        <w:t>1</w:t>
      </w:r>
      <w:r>
        <w:rPr>
          <w:rFonts w:hint="eastAsia" w:ascii="宋体" w:hAnsi="宋体"/>
          <w:sz w:val="24"/>
        </w:rPr>
        <w:t>、遵纪守法，客观、公正、廉洁地履行职责。</w:t>
      </w:r>
    </w:p>
    <w:p>
      <w:pPr>
        <w:widowControl/>
        <w:spacing w:line="400" w:lineRule="exact"/>
        <w:ind w:firstLine="480" w:firstLineChars="200"/>
        <w:textAlignment w:val="bottom"/>
        <w:rPr>
          <w:rFonts w:ascii="宋体"/>
          <w:sz w:val="24"/>
        </w:rPr>
      </w:pPr>
      <w:r>
        <w:rPr>
          <w:rFonts w:ascii="宋体" w:hAnsi="宋体"/>
          <w:sz w:val="24"/>
        </w:rPr>
        <w:t>2</w:t>
      </w:r>
      <w:r>
        <w:rPr>
          <w:rFonts w:hint="eastAsia" w:ascii="宋体" w:hAnsi="宋体"/>
          <w:sz w:val="24"/>
        </w:rPr>
        <w:t>、按照招投标法律法规和评标文件的规定要求对投标人的资格条件和投标人提供的产品技术、服务等方面严格进行评判，提供科学合理、公平公正的评审意见，参与起草评审报告，并予签字确认。</w:t>
      </w:r>
    </w:p>
    <w:p>
      <w:pPr>
        <w:widowControl/>
        <w:spacing w:line="400" w:lineRule="exact"/>
        <w:ind w:firstLine="480" w:firstLineChars="200"/>
        <w:textAlignment w:val="bottom"/>
        <w:rPr>
          <w:rFonts w:ascii="宋体"/>
          <w:sz w:val="24"/>
        </w:rPr>
      </w:pPr>
      <w:r>
        <w:rPr>
          <w:rFonts w:ascii="宋体" w:hAnsi="宋体"/>
          <w:sz w:val="24"/>
        </w:rPr>
        <w:t>3</w:t>
      </w:r>
      <w:r>
        <w:rPr>
          <w:rFonts w:hint="eastAsia" w:ascii="宋体" w:hAnsi="宋体"/>
          <w:sz w:val="24"/>
        </w:rPr>
        <w:t>、保守秘密。不得透露招标文件咨询情况，不得泄漏投标人的投标文件及知悉的商业秘密，不得向投标人透露评审情况。</w:t>
      </w:r>
    </w:p>
    <w:p>
      <w:pPr>
        <w:widowControl/>
        <w:spacing w:line="400" w:lineRule="exact"/>
        <w:ind w:firstLine="480" w:firstLineChars="200"/>
        <w:textAlignment w:val="bottom"/>
        <w:rPr>
          <w:rFonts w:ascii="宋体"/>
          <w:sz w:val="24"/>
        </w:rPr>
      </w:pPr>
      <w:r>
        <w:rPr>
          <w:rFonts w:ascii="宋体" w:hAnsi="宋体"/>
          <w:sz w:val="24"/>
        </w:rPr>
        <w:t>4</w:t>
      </w:r>
      <w:r>
        <w:rPr>
          <w:rFonts w:hint="eastAsia" w:ascii="宋体" w:hAnsi="宋体"/>
          <w:sz w:val="24"/>
        </w:rPr>
        <w:t>、发现投标人在政府采购活动中有不正当竞争或恶意串通等违规行为，及时向相关评审工作的组织者或相关部门报告并加以制止。</w:t>
      </w:r>
    </w:p>
    <w:p>
      <w:pPr>
        <w:widowControl/>
        <w:spacing w:line="400" w:lineRule="exact"/>
        <w:ind w:firstLine="480" w:firstLineChars="200"/>
        <w:textAlignment w:val="bottom"/>
        <w:rPr>
          <w:rFonts w:ascii="宋体"/>
          <w:sz w:val="24"/>
        </w:rPr>
      </w:pPr>
      <w:r>
        <w:rPr>
          <w:rFonts w:ascii="宋体" w:hAnsi="宋体"/>
          <w:sz w:val="24"/>
        </w:rPr>
        <w:t>5</w:t>
      </w:r>
      <w:r>
        <w:rPr>
          <w:rFonts w:hint="eastAsia" w:ascii="宋体" w:hAnsi="宋体"/>
          <w:sz w:val="24"/>
        </w:rPr>
        <w:t>、发现招标人人、招标代理机构及其工作人员在招标活动中有干预评审、发表倾向性和歧视性言论、受贿或者接受投标人的其他好处及其他违法违规行为，及时向相关部门报告。</w:t>
      </w:r>
    </w:p>
    <w:p>
      <w:pPr>
        <w:widowControl/>
        <w:spacing w:line="400" w:lineRule="exact"/>
        <w:ind w:firstLine="480" w:firstLineChars="200"/>
        <w:textAlignment w:val="bottom"/>
        <w:rPr>
          <w:rFonts w:ascii="宋体"/>
          <w:sz w:val="24"/>
        </w:rPr>
      </w:pPr>
      <w:r>
        <w:rPr>
          <w:rFonts w:ascii="宋体" w:hAnsi="宋体"/>
          <w:sz w:val="24"/>
        </w:rPr>
        <w:t>6</w:t>
      </w:r>
      <w:r>
        <w:rPr>
          <w:rFonts w:hint="eastAsia" w:ascii="宋体" w:hAnsi="宋体"/>
          <w:sz w:val="24"/>
        </w:rPr>
        <w:t>、解答有关方面对建设项目招标评审工作中有关问题的询问，配合招标人或者招标代理机构答复投标人质疑，配合相关部门的投诉处理工作等事宜。</w:t>
      </w:r>
    </w:p>
    <w:p>
      <w:pPr>
        <w:widowControl/>
        <w:spacing w:line="400" w:lineRule="exact"/>
        <w:ind w:firstLine="480" w:firstLineChars="200"/>
        <w:textAlignment w:val="bottom"/>
        <w:rPr>
          <w:rFonts w:ascii="宋体"/>
          <w:sz w:val="24"/>
        </w:rPr>
      </w:pPr>
      <w:r>
        <w:rPr>
          <w:rFonts w:ascii="宋体" w:hAnsi="宋体"/>
          <w:sz w:val="24"/>
        </w:rPr>
        <w:t>7</w:t>
      </w:r>
      <w:r>
        <w:rPr>
          <w:rFonts w:hint="eastAsia" w:ascii="宋体" w:hAnsi="宋体"/>
          <w:sz w:val="24"/>
        </w:rPr>
        <w:t>、法律、法规和规章规定的其他义务。</w:t>
      </w:r>
    </w:p>
    <w:p>
      <w:pPr>
        <w:pStyle w:val="3"/>
        <w:spacing w:line="400" w:lineRule="exact"/>
        <w:rPr>
          <w:rFonts w:ascii="宋体" w:hAnsi="宋体"/>
          <w:sz w:val="28"/>
          <w:szCs w:val="24"/>
        </w:rPr>
      </w:pPr>
      <w:bookmarkStart w:id="30" w:name="_Toc307216535"/>
      <w:bookmarkStart w:id="31" w:name="_Toc234123099"/>
      <w:r>
        <w:rPr>
          <w:rFonts w:hint="eastAsia" w:ascii="宋体" w:hAnsi="宋体"/>
          <w:sz w:val="28"/>
          <w:szCs w:val="24"/>
        </w:rPr>
        <w:t>四、评标专家在评标活动中应当遵守的工作纪律</w:t>
      </w:r>
      <w:bookmarkEnd w:id="30"/>
      <w:bookmarkEnd w:id="31"/>
    </w:p>
    <w:p>
      <w:pPr>
        <w:spacing w:line="400" w:lineRule="exact"/>
        <w:ind w:firstLine="480" w:firstLineChars="200"/>
        <w:rPr>
          <w:rFonts w:ascii="宋体"/>
          <w:sz w:val="24"/>
        </w:rPr>
      </w:pPr>
      <w:r>
        <w:rPr>
          <w:rFonts w:hint="eastAsia" w:ascii="宋体" w:hAnsi="宋体"/>
          <w:sz w:val="24"/>
        </w:rPr>
        <w:t>为了保证本项目招标工作的严肃性和规范性，严格按照本项目招标文件制定的评标程序、标准及方法进行评标工作，根据《中华人民共和国政府采购法》、财政部第</w:t>
      </w:r>
      <w:r>
        <w:rPr>
          <w:rFonts w:ascii="宋体" w:hAnsi="宋体"/>
          <w:sz w:val="24"/>
        </w:rPr>
        <w:t>18</w:t>
      </w:r>
      <w:r>
        <w:rPr>
          <w:rFonts w:hint="eastAsia" w:ascii="宋体" w:hAnsi="宋体"/>
          <w:sz w:val="24"/>
        </w:rPr>
        <w:t>号令颁布的《政府采购货物和服务招标投标管理办法》和《中华人民共和国保密法》的有关规定，制定本评标纪律。</w:t>
      </w:r>
    </w:p>
    <w:p>
      <w:pPr>
        <w:spacing w:line="400" w:lineRule="exact"/>
        <w:ind w:firstLine="480" w:firstLineChars="200"/>
        <w:rPr>
          <w:rFonts w:ascii="宋体"/>
          <w:sz w:val="24"/>
        </w:rPr>
      </w:pPr>
      <w:r>
        <w:rPr>
          <w:rFonts w:ascii="宋体" w:hAnsi="宋体"/>
          <w:sz w:val="24"/>
        </w:rPr>
        <w:t>1</w:t>
      </w:r>
      <w:r>
        <w:rPr>
          <w:rFonts w:hint="eastAsia" w:ascii="宋体" w:hAnsi="宋体"/>
          <w:sz w:val="24"/>
        </w:rPr>
        <w:t>、本项目评标工作本着“公平、公正、科学及择优”的原则进行。</w:t>
      </w:r>
    </w:p>
    <w:p>
      <w:pPr>
        <w:spacing w:line="400" w:lineRule="exact"/>
        <w:ind w:firstLine="480" w:firstLineChars="200"/>
        <w:rPr>
          <w:rFonts w:ascii="宋体"/>
          <w:sz w:val="24"/>
        </w:rPr>
      </w:pPr>
      <w:r>
        <w:rPr>
          <w:rFonts w:ascii="宋体" w:hAnsi="宋体"/>
          <w:sz w:val="24"/>
        </w:rPr>
        <w:t>2</w:t>
      </w:r>
      <w:r>
        <w:rPr>
          <w:rFonts w:hint="eastAsia" w:ascii="宋体" w:hAnsi="宋体"/>
          <w:sz w:val="24"/>
        </w:rPr>
        <w:t>、评标小组应严格遵循相关法律法规，按照招标文件所提的内容，严格、认真、公平、公正地审查投标文件在实质上是否响应了投标文件的要求，根据谈投标文件的要求和投标人的条件择优而定。</w:t>
      </w:r>
    </w:p>
    <w:p>
      <w:pPr>
        <w:spacing w:line="400" w:lineRule="exact"/>
        <w:ind w:firstLine="480" w:firstLineChars="200"/>
        <w:rPr>
          <w:rFonts w:ascii="宋体"/>
          <w:sz w:val="24"/>
        </w:rPr>
      </w:pPr>
      <w:r>
        <w:rPr>
          <w:rFonts w:ascii="宋体" w:hAnsi="宋体"/>
          <w:sz w:val="24"/>
        </w:rPr>
        <w:t>3</w:t>
      </w:r>
      <w:r>
        <w:rPr>
          <w:rFonts w:hint="eastAsia" w:ascii="宋体" w:hAnsi="宋体"/>
          <w:sz w:val="24"/>
        </w:rPr>
        <w:t>、评标小组由相关方面的专家组成，评标小组有权要求投标人对其投标文件中含义不明确的内容作必要的澄清或者说明。</w:t>
      </w:r>
    </w:p>
    <w:p>
      <w:pPr>
        <w:spacing w:line="400" w:lineRule="exact"/>
        <w:ind w:firstLine="480" w:firstLineChars="200"/>
        <w:rPr>
          <w:rFonts w:ascii="宋体"/>
          <w:sz w:val="24"/>
        </w:rPr>
      </w:pPr>
      <w:r>
        <w:rPr>
          <w:rFonts w:ascii="宋体" w:hAnsi="宋体"/>
          <w:sz w:val="24"/>
        </w:rPr>
        <w:t>4</w:t>
      </w:r>
      <w:r>
        <w:rPr>
          <w:rFonts w:hint="eastAsia" w:ascii="宋体" w:hAnsi="宋体"/>
          <w:sz w:val="24"/>
        </w:rPr>
        <w:t>、评标的过程严加保密。评标过程中指定联络员与投标方联系，其他评委或工作人员不得与投标人私下交换意见或透露评标情况，如违反规定将予以严肃处理。</w:t>
      </w:r>
    </w:p>
    <w:p>
      <w:pPr>
        <w:spacing w:line="400" w:lineRule="exact"/>
        <w:ind w:firstLine="480" w:firstLineChars="200"/>
        <w:rPr>
          <w:rFonts w:ascii="宋体"/>
          <w:sz w:val="24"/>
        </w:rPr>
      </w:pPr>
      <w:r>
        <w:rPr>
          <w:rFonts w:ascii="宋体" w:hAnsi="宋体"/>
          <w:sz w:val="24"/>
        </w:rPr>
        <w:t>5</w:t>
      </w:r>
      <w:r>
        <w:rPr>
          <w:rFonts w:hint="eastAsia" w:ascii="宋体" w:hAnsi="宋体"/>
          <w:sz w:val="24"/>
        </w:rPr>
        <w:t>、在开标、评标期间，投标人试图影响评标的任何做法（包括向评委、工作人员探听评标情况等）都被视为严重违纪，评标小组有权拒绝其投标。若在中标后发现有此行为，则取消中标人签订合同的资格。</w:t>
      </w:r>
    </w:p>
    <w:p>
      <w:pPr>
        <w:spacing w:line="400" w:lineRule="exact"/>
        <w:ind w:firstLine="480" w:firstLineChars="200"/>
        <w:rPr>
          <w:rFonts w:ascii="宋体"/>
          <w:sz w:val="24"/>
        </w:rPr>
      </w:pPr>
      <w:r>
        <w:rPr>
          <w:rFonts w:ascii="宋体" w:hAnsi="宋体"/>
          <w:sz w:val="24"/>
        </w:rPr>
        <w:t>6</w:t>
      </w:r>
      <w:r>
        <w:rPr>
          <w:rFonts w:hint="eastAsia" w:ascii="宋体" w:hAnsi="宋体"/>
          <w:sz w:val="24"/>
        </w:rPr>
        <w:t>、在评标期间，任何人不得向外传递信息。不允许把投标文件及其汇总材料带出指定地点，该材料应有专人保管和发放。</w:t>
      </w:r>
    </w:p>
    <w:p>
      <w:pPr>
        <w:spacing w:line="400" w:lineRule="exact"/>
        <w:ind w:firstLine="480" w:firstLineChars="200"/>
        <w:rPr>
          <w:rFonts w:ascii="宋体"/>
          <w:sz w:val="24"/>
        </w:rPr>
      </w:pPr>
      <w:r>
        <w:rPr>
          <w:rFonts w:ascii="宋体" w:hAnsi="宋体"/>
          <w:sz w:val="24"/>
        </w:rPr>
        <w:t>7</w:t>
      </w:r>
      <w:r>
        <w:rPr>
          <w:rFonts w:hint="eastAsia" w:ascii="宋体" w:hAnsi="宋体"/>
          <w:sz w:val="24"/>
        </w:rPr>
        <w:t>、参加评标的专家不代表各自单位，没有向各自单位汇报评标情况的权利和义务。</w:t>
      </w:r>
    </w:p>
    <w:p>
      <w:pPr>
        <w:spacing w:line="400" w:lineRule="exact"/>
        <w:ind w:firstLine="480" w:firstLineChars="200"/>
        <w:rPr>
          <w:rFonts w:ascii="宋体"/>
          <w:sz w:val="24"/>
        </w:rPr>
      </w:pPr>
      <w:r>
        <w:rPr>
          <w:rFonts w:ascii="宋体" w:hAnsi="宋体"/>
          <w:sz w:val="24"/>
        </w:rPr>
        <w:t>8</w:t>
      </w:r>
      <w:r>
        <w:rPr>
          <w:rFonts w:hint="eastAsia" w:ascii="宋体" w:hAnsi="宋体"/>
          <w:sz w:val="24"/>
        </w:rPr>
        <w:t>、参加评标的专家不得向投标人解答与之有关的评标情况。评标小组及其成员没有向未中标人解答与评标有关问题的权利和义务。</w:t>
      </w:r>
    </w:p>
    <w:p>
      <w:pPr>
        <w:spacing w:line="400" w:lineRule="exact"/>
        <w:ind w:firstLine="480" w:firstLineChars="200"/>
        <w:rPr>
          <w:rFonts w:ascii="宋体"/>
          <w:sz w:val="24"/>
        </w:rPr>
      </w:pPr>
      <w:r>
        <w:rPr>
          <w:rFonts w:ascii="宋体" w:hAnsi="宋体"/>
          <w:sz w:val="24"/>
        </w:rPr>
        <w:t>9</w:t>
      </w:r>
      <w:r>
        <w:rPr>
          <w:rFonts w:hint="eastAsia" w:ascii="宋体" w:hAnsi="宋体"/>
          <w:sz w:val="24"/>
        </w:rPr>
        <w:t>、评标过程除评标小组成员外，有关工作人员因工作需要可以参加会议，但没有评议和表决权。其他与评标无关人员不得参加评标，不得探听评标情况，如违反规定，将严肃处理。</w:t>
      </w:r>
    </w:p>
    <w:p>
      <w:pPr>
        <w:pStyle w:val="4"/>
        <w:spacing w:line="400" w:lineRule="exact"/>
        <w:ind w:firstLine="480" w:firstLineChars="200"/>
        <w:rPr>
          <w:rFonts w:ascii="宋体"/>
          <w:sz w:val="24"/>
          <w:szCs w:val="24"/>
        </w:rPr>
      </w:pPr>
      <w:r>
        <w:rPr>
          <w:rFonts w:ascii="宋体" w:hAnsi="宋体"/>
          <w:sz w:val="24"/>
          <w:szCs w:val="24"/>
        </w:rPr>
        <w:t>10</w:t>
      </w:r>
      <w:r>
        <w:rPr>
          <w:rFonts w:hint="eastAsia" w:ascii="宋体" w:hAnsi="宋体"/>
          <w:sz w:val="24"/>
          <w:szCs w:val="24"/>
        </w:rPr>
        <w:t>、根据择优而定的原则，评标小组对中标候选人的选择必须确保在符合法定人数的基础上做出决定，所有评委应在评标结果和评标报告上签字。</w:t>
      </w:r>
    </w:p>
    <w:p>
      <w:pPr>
        <w:pStyle w:val="4"/>
        <w:spacing w:line="400" w:lineRule="exact"/>
        <w:ind w:firstLine="480" w:firstLineChars="200"/>
        <w:rPr>
          <w:rFonts w:ascii="宋体"/>
          <w:sz w:val="24"/>
          <w:szCs w:val="24"/>
        </w:rPr>
      </w:pPr>
      <w:r>
        <w:rPr>
          <w:rFonts w:ascii="宋体" w:hAnsi="宋体"/>
          <w:sz w:val="24"/>
          <w:szCs w:val="24"/>
        </w:rPr>
        <w:t>11</w:t>
      </w:r>
      <w:r>
        <w:rPr>
          <w:rFonts w:hint="eastAsia" w:ascii="宋体" w:hAnsi="宋体"/>
          <w:sz w:val="24"/>
          <w:szCs w:val="24"/>
        </w:rPr>
        <w:t>、评标小组成员不得擅离职守，影响评标程序正常进行，不得使用评标文件“评标办法”没有规定的评审因素和标准进行评标。</w:t>
      </w:r>
    </w:p>
    <w:p>
      <w:pPr>
        <w:rPr>
          <w:rFonts w:asci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宋体-18030">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77352"/>
    <w:multiLevelType w:val="multilevel"/>
    <w:tmpl w:val="1A377352"/>
    <w:lvl w:ilvl="0" w:tentative="0">
      <w:start w:val="1"/>
      <w:numFmt w:val="japaneseCounting"/>
      <w:lvlText w:val="%1、"/>
      <w:lvlJc w:val="left"/>
      <w:pPr>
        <w:tabs>
          <w:tab w:val="left" w:pos="480"/>
        </w:tabs>
        <w:ind w:left="480" w:hanging="480"/>
      </w:pPr>
      <w:rPr>
        <w:rFonts w:cs="Times New Roman"/>
      </w:rPr>
    </w:lvl>
    <w:lvl w:ilvl="1" w:tentative="0">
      <w:start w:val="1"/>
      <w:numFmt w:val="decimal"/>
      <w:lvlText w:val="%2、"/>
      <w:lvlJc w:val="left"/>
      <w:pPr>
        <w:tabs>
          <w:tab w:val="left" w:pos="780"/>
        </w:tabs>
        <w:ind w:left="78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57988730"/>
    <w:multiLevelType w:val="singleLevel"/>
    <w:tmpl w:val="57988730"/>
    <w:lvl w:ilvl="0" w:tentative="0">
      <w:start w:val="1"/>
      <w:numFmt w:val="decimal"/>
      <w:suff w:val="nothing"/>
      <w:lvlText w:val="%1."/>
      <w:lvlJc w:val="left"/>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006FB4"/>
    <w:rsid w:val="00003944"/>
    <w:rsid w:val="00006FB4"/>
    <w:rsid w:val="0001673C"/>
    <w:rsid w:val="00021F8E"/>
    <w:rsid w:val="00035449"/>
    <w:rsid w:val="000371D4"/>
    <w:rsid w:val="00043CD7"/>
    <w:rsid w:val="00044EC7"/>
    <w:rsid w:val="000523B5"/>
    <w:rsid w:val="00053BF4"/>
    <w:rsid w:val="000667A0"/>
    <w:rsid w:val="000669E9"/>
    <w:rsid w:val="00067868"/>
    <w:rsid w:val="00072573"/>
    <w:rsid w:val="000775BA"/>
    <w:rsid w:val="0008293B"/>
    <w:rsid w:val="00083774"/>
    <w:rsid w:val="00087D8F"/>
    <w:rsid w:val="000A2E51"/>
    <w:rsid w:val="000B72F0"/>
    <w:rsid w:val="000C1BBD"/>
    <w:rsid w:val="000C28C4"/>
    <w:rsid w:val="000C6036"/>
    <w:rsid w:val="000C7E07"/>
    <w:rsid w:val="000E1415"/>
    <w:rsid w:val="00102165"/>
    <w:rsid w:val="00103161"/>
    <w:rsid w:val="0010634A"/>
    <w:rsid w:val="00125F56"/>
    <w:rsid w:val="00140D44"/>
    <w:rsid w:val="001633B4"/>
    <w:rsid w:val="0017098A"/>
    <w:rsid w:val="001723EF"/>
    <w:rsid w:val="00185BB5"/>
    <w:rsid w:val="00193B90"/>
    <w:rsid w:val="001A0AC7"/>
    <w:rsid w:val="001A6941"/>
    <w:rsid w:val="001B3CCD"/>
    <w:rsid w:val="001B7CB0"/>
    <w:rsid w:val="001C26C1"/>
    <w:rsid w:val="001D50A6"/>
    <w:rsid w:val="001E0D13"/>
    <w:rsid w:val="001E22BF"/>
    <w:rsid w:val="001E27B1"/>
    <w:rsid w:val="001E37DA"/>
    <w:rsid w:val="001E7CED"/>
    <w:rsid w:val="00203726"/>
    <w:rsid w:val="0021111A"/>
    <w:rsid w:val="0023332A"/>
    <w:rsid w:val="00245760"/>
    <w:rsid w:val="00260964"/>
    <w:rsid w:val="002609E7"/>
    <w:rsid w:val="00262287"/>
    <w:rsid w:val="00263B59"/>
    <w:rsid w:val="00273A9F"/>
    <w:rsid w:val="002741F5"/>
    <w:rsid w:val="00274208"/>
    <w:rsid w:val="002827B3"/>
    <w:rsid w:val="0029435B"/>
    <w:rsid w:val="00297A92"/>
    <w:rsid w:val="002C02A6"/>
    <w:rsid w:val="002C2BC3"/>
    <w:rsid w:val="002C797C"/>
    <w:rsid w:val="002D4133"/>
    <w:rsid w:val="002E22D4"/>
    <w:rsid w:val="002E30D0"/>
    <w:rsid w:val="002F2FFF"/>
    <w:rsid w:val="00316692"/>
    <w:rsid w:val="00317CB4"/>
    <w:rsid w:val="003250EA"/>
    <w:rsid w:val="00332239"/>
    <w:rsid w:val="00360F2E"/>
    <w:rsid w:val="00363D18"/>
    <w:rsid w:val="00374217"/>
    <w:rsid w:val="00391819"/>
    <w:rsid w:val="003A114D"/>
    <w:rsid w:val="003A2D49"/>
    <w:rsid w:val="003A7415"/>
    <w:rsid w:val="003B3D0B"/>
    <w:rsid w:val="003B5328"/>
    <w:rsid w:val="003C2F63"/>
    <w:rsid w:val="003C40AA"/>
    <w:rsid w:val="003D3163"/>
    <w:rsid w:val="003D3F45"/>
    <w:rsid w:val="003D6FC7"/>
    <w:rsid w:val="003E24D2"/>
    <w:rsid w:val="003E7891"/>
    <w:rsid w:val="003F3681"/>
    <w:rsid w:val="004128CE"/>
    <w:rsid w:val="00421798"/>
    <w:rsid w:val="00431B69"/>
    <w:rsid w:val="004419CE"/>
    <w:rsid w:val="00441D75"/>
    <w:rsid w:val="004642D5"/>
    <w:rsid w:val="00464BFC"/>
    <w:rsid w:val="0046514D"/>
    <w:rsid w:val="00475D61"/>
    <w:rsid w:val="00477E60"/>
    <w:rsid w:val="004815F8"/>
    <w:rsid w:val="0048203C"/>
    <w:rsid w:val="00491A9D"/>
    <w:rsid w:val="00493B19"/>
    <w:rsid w:val="004979BC"/>
    <w:rsid w:val="004A43A0"/>
    <w:rsid w:val="004B203A"/>
    <w:rsid w:val="004B63E0"/>
    <w:rsid w:val="004C55F2"/>
    <w:rsid w:val="004E4226"/>
    <w:rsid w:val="004E7D6E"/>
    <w:rsid w:val="004F05A5"/>
    <w:rsid w:val="004F3DE9"/>
    <w:rsid w:val="004F73E0"/>
    <w:rsid w:val="00546D95"/>
    <w:rsid w:val="00551113"/>
    <w:rsid w:val="005559E2"/>
    <w:rsid w:val="005760A3"/>
    <w:rsid w:val="00592C03"/>
    <w:rsid w:val="005C1727"/>
    <w:rsid w:val="005C3E1B"/>
    <w:rsid w:val="005C3F9F"/>
    <w:rsid w:val="005C4F3C"/>
    <w:rsid w:val="005D5625"/>
    <w:rsid w:val="005F0D03"/>
    <w:rsid w:val="005F11A7"/>
    <w:rsid w:val="005F7C22"/>
    <w:rsid w:val="00613FAA"/>
    <w:rsid w:val="0063078B"/>
    <w:rsid w:val="00634493"/>
    <w:rsid w:val="006410C4"/>
    <w:rsid w:val="006432A9"/>
    <w:rsid w:val="00647316"/>
    <w:rsid w:val="00656BBE"/>
    <w:rsid w:val="0066222E"/>
    <w:rsid w:val="0066514B"/>
    <w:rsid w:val="006702DA"/>
    <w:rsid w:val="00675770"/>
    <w:rsid w:val="006A46AA"/>
    <w:rsid w:val="006B5ABC"/>
    <w:rsid w:val="006B72DD"/>
    <w:rsid w:val="006C3F97"/>
    <w:rsid w:val="006C4176"/>
    <w:rsid w:val="006F328D"/>
    <w:rsid w:val="00703197"/>
    <w:rsid w:val="007117F9"/>
    <w:rsid w:val="0071434B"/>
    <w:rsid w:val="00717E9D"/>
    <w:rsid w:val="007307E8"/>
    <w:rsid w:val="00740886"/>
    <w:rsid w:val="00741173"/>
    <w:rsid w:val="00745C91"/>
    <w:rsid w:val="00752103"/>
    <w:rsid w:val="00762341"/>
    <w:rsid w:val="00772F8A"/>
    <w:rsid w:val="00774787"/>
    <w:rsid w:val="00781C69"/>
    <w:rsid w:val="00783FA8"/>
    <w:rsid w:val="00790DEE"/>
    <w:rsid w:val="00791A45"/>
    <w:rsid w:val="007B0D9D"/>
    <w:rsid w:val="007C5022"/>
    <w:rsid w:val="007D4FCB"/>
    <w:rsid w:val="007D7CB1"/>
    <w:rsid w:val="007E1BD0"/>
    <w:rsid w:val="007E2CEC"/>
    <w:rsid w:val="007E62BC"/>
    <w:rsid w:val="007E691B"/>
    <w:rsid w:val="007E7760"/>
    <w:rsid w:val="007F59E6"/>
    <w:rsid w:val="007F7D74"/>
    <w:rsid w:val="00803927"/>
    <w:rsid w:val="00810C07"/>
    <w:rsid w:val="00810CC5"/>
    <w:rsid w:val="008117B1"/>
    <w:rsid w:val="008173E9"/>
    <w:rsid w:val="0082282B"/>
    <w:rsid w:val="00823423"/>
    <w:rsid w:val="008400D2"/>
    <w:rsid w:val="0084256B"/>
    <w:rsid w:val="00846092"/>
    <w:rsid w:val="00864627"/>
    <w:rsid w:val="0086634A"/>
    <w:rsid w:val="00866E45"/>
    <w:rsid w:val="00882CCE"/>
    <w:rsid w:val="00883B0D"/>
    <w:rsid w:val="008A7FCA"/>
    <w:rsid w:val="008B0237"/>
    <w:rsid w:val="008B2B32"/>
    <w:rsid w:val="008B38F3"/>
    <w:rsid w:val="008F1473"/>
    <w:rsid w:val="008F21D4"/>
    <w:rsid w:val="008F33D6"/>
    <w:rsid w:val="00903147"/>
    <w:rsid w:val="00904215"/>
    <w:rsid w:val="00913E18"/>
    <w:rsid w:val="009146A6"/>
    <w:rsid w:val="00915A11"/>
    <w:rsid w:val="00953448"/>
    <w:rsid w:val="00972FE9"/>
    <w:rsid w:val="009763EC"/>
    <w:rsid w:val="00977848"/>
    <w:rsid w:val="0098090A"/>
    <w:rsid w:val="00980B99"/>
    <w:rsid w:val="00981B9C"/>
    <w:rsid w:val="00990753"/>
    <w:rsid w:val="00991F3C"/>
    <w:rsid w:val="00994DAE"/>
    <w:rsid w:val="0099515C"/>
    <w:rsid w:val="009A4A6E"/>
    <w:rsid w:val="009B13DD"/>
    <w:rsid w:val="009E0817"/>
    <w:rsid w:val="009E2B34"/>
    <w:rsid w:val="009E65A6"/>
    <w:rsid w:val="009E678F"/>
    <w:rsid w:val="009E767C"/>
    <w:rsid w:val="009E7CC0"/>
    <w:rsid w:val="009F394F"/>
    <w:rsid w:val="009F5944"/>
    <w:rsid w:val="00A00CFB"/>
    <w:rsid w:val="00A200CD"/>
    <w:rsid w:val="00A27AE7"/>
    <w:rsid w:val="00A343A4"/>
    <w:rsid w:val="00A54F0C"/>
    <w:rsid w:val="00A64B46"/>
    <w:rsid w:val="00A70AB7"/>
    <w:rsid w:val="00A7698A"/>
    <w:rsid w:val="00A8523A"/>
    <w:rsid w:val="00A94501"/>
    <w:rsid w:val="00AA3C49"/>
    <w:rsid w:val="00AB049E"/>
    <w:rsid w:val="00AB2844"/>
    <w:rsid w:val="00AD533C"/>
    <w:rsid w:val="00AF36D5"/>
    <w:rsid w:val="00AF7D90"/>
    <w:rsid w:val="00B0285D"/>
    <w:rsid w:val="00B07DCC"/>
    <w:rsid w:val="00B27740"/>
    <w:rsid w:val="00B41666"/>
    <w:rsid w:val="00B434F7"/>
    <w:rsid w:val="00B462F3"/>
    <w:rsid w:val="00B551EC"/>
    <w:rsid w:val="00B56885"/>
    <w:rsid w:val="00B70A4C"/>
    <w:rsid w:val="00B72ABA"/>
    <w:rsid w:val="00B74EA5"/>
    <w:rsid w:val="00B85FD4"/>
    <w:rsid w:val="00BA2045"/>
    <w:rsid w:val="00BA52E7"/>
    <w:rsid w:val="00BB1B11"/>
    <w:rsid w:val="00BB6573"/>
    <w:rsid w:val="00BB65F4"/>
    <w:rsid w:val="00BC1489"/>
    <w:rsid w:val="00BC2611"/>
    <w:rsid w:val="00BD2236"/>
    <w:rsid w:val="00BD233C"/>
    <w:rsid w:val="00C03F70"/>
    <w:rsid w:val="00C11079"/>
    <w:rsid w:val="00C12850"/>
    <w:rsid w:val="00C20DB9"/>
    <w:rsid w:val="00C307C9"/>
    <w:rsid w:val="00C320F6"/>
    <w:rsid w:val="00C33B26"/>
    <w:rsid w:val="00C51179"/>
    <w:rsid w:val="00C671EF"/>
    <w:rsid w:val="00C678C7"/>
    <w:rsid w:val="00C7141F"/>
    <w:rsid w:val="00C75247"/>
    <w:rsid w:val="00C87817"/>
    <w:rsid w:val="00CC02EC"/>
    <w:rsid w:val="00CC2792"/>
    <w:rsid w:val="00CC72A3"/>
    <w:rsid w:val="00CD3A3A"/>
    <w:rsid w:val="00CD43E8"/>
    <w:rsid w:val="00CE0900"/>
    <w:rsid w:val="00D13331"/>
    <w:rsid w:val="00D339F9"/>
    <w:rsid w:val="00D467D1"/>
    <w:rsid w:val="00D53D68"/>
    <w:rsid w:val="00D64408"/>
    <w:rsid w:val="00D65003"/>
    <w:rsid w:val="00D70052"/>
    <w:rsid w:val="00D766A0"/>
    <w:rsid w:val="00D835A3"/>
    <w:rsid w:val="00D90A4E"/>
    <w:rsid w:val="00DA2201"/>
    <w:rsid w:val="00DB1558"/>
    <w:rsid w:val="00DB68DD"/>
    <w:rsid w:val="00DD727C"/>
    <w:rsid w:val="00DD7FAF"/>
    <w:rsid w:val="00DE47A6"/>
    <w:rsid w:val="00DE5603"/>
    <w:rsid w:val="00DF7DBB"/>
    <w:rsid w:val="00E008F6"/>
    <w:rsid w:val="00E03371"/>
    <w:rsid w:val="00E15710"/>
    <w:rsid w:val="00E17224"/>
    <w:rsid w:val="00E17DA4"/>
    <w:rsid w:val="00E214EE"/>
    <w:rsid w:val="00E26126"/>
    <w:rsid w:val="00E34F73"/>
    <w:rsid w:val="00E3561C"/>
    <w:rsid w:val="00E4456D"/>
    <w:rsid w:val="00E459DE"/>
    <w:rsid w:val="00E46881"/>
    <w:rsid w:val="00E51734"/>
    <w:rsid w:val="00E52C2F"/>
    <w:rsid w:val="00E7380B"/>
    <w:rsid w:val="00E754E0"/>
    <w:rsid w:val="00E76A50"/>
    <w:rsid w:val="00E81DC7"/>
    <w:rsid w:val="00E8512C"/>
    <w:rsid w:val="00E856A8"/>
    <w:rsid w:val="00E91732"/>
    <w:rsid w:val="00E93A2F"/>
    <w:rsid w:val="00E972EF"/>
    <w:rsid w:val="00EA1CC0"/>
    <w:rsid w:val="00EB7FF4"/>
    <w:rsid w:val="00EC4A15"/>
    <w:rsid w:val="00EC6EC8"/>
    <w:rsid w:val="00ED1BD6"/>
    <w:rsid w:val="00ED4403"/>
    <w:rsid w:val="00F011E3"/>
    <w:rsid w:val="00F01473"/>
    <w:rsid w:val="00F02433"/>
    <w:rsid w:val="00F06CAB"/>
    <w:rsid w:val="00F11EFF"/>
    <w:rsid w:val="00F24189"/>
    <w:rsid w:val="00F24BA3"/>
    <w:rsid w:val="00F410C2"/>
    <w:rsid w:val="00F46F42"/>
    <w:rsid w:val="00F52A4F"/>
    <w:rsid w:val="00F62012"/>
    <w:rsid w:val="00F6468E"/>
    <w:rsid w:val="00F653EA"/>
    <w:rsid w:val="00F6628D"/>
    <w:rsid w:val="00F70AB1"/>
    <w:rsid w:val="00F71058"/>
    <w:rsid w:val="00F74C98"/>
    <w:rsid w:val="00F7757E"/>
    <w:rsid w:val="00F95BBE"/>
    <w:rsid w:val="00FA09DF"/>
    <w:rsid w:val="00FA24AE"/>
    <w:rsid w:val="00FA41E7"/>
    <w:rsid w:val="00FA77EE"/>
    <w:rsid w:val="00FB4D9E"/>
    <w:rsid w:val="00FB576C"/>
    <w:rsid w:val="00FF0D75"/>
    <w:rsid w:val="00FF3490"/>
    <w:rsid w:val="00FF6A19"/>
    <w:rsid w:val="073E2987"/>
    <w:rsid w:val="10E62C15"/>
    <w:rsid w:val="118B3A5F"/>
    <w:rsid w:val="27A24857"/>
    <w:rsid w:val="2D5172AD"/>
    <w:rsid w:val="2ED906C0"/>
    <w:rsid w:val="429B192E"/>
    <w:rsid w:val="44D764EE"/>
    <w:rsid w:val="58AB7F72"/>
    <w:rsid w:val="6535159B"/>
    <w:rsid w:val="66085757"/>
    <w:rsid w:val="67144B41"/>
    <w:rsid w:val="6D661161"/>
    <w:rsid w:val="6D8E41E7"/>
    <w:rsid w:val="71C07E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6"/>
    <w:qFormat/>
    <w:uiPriority w:val="99"/>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ind w:firstLine="630"/>
    </w:pPr>
    <w:rPr>
      <w:rFonts w:ascii="Times New Roman" w:hAnsi="Times New Roman"/>
      <w:kern w:val="0"/>
      <w:sz w:val="32"/>
      <w:szCs w:val="32"/>
    </w:rPr>
  </w:style>
  <w:style w:type="paragraph" w:styleId="5">
    <w:name w:val="Body Text"/>
    <w:basedOn w:val="1"/>
    <w:link w:val="21"/>
    <w:qFormat/>
    <w:uiPriority w:val="99"/>
    <w:rPr>
      <w:sz w:val="28"/>
    </w:rPr>
  </w:style>
  <w:style w:type="paragraph" w:styleId="6">
    <w:name w:val="Plain Text"/>
    <w:basedOn w:val="1"/>
    <w:link w:val="17"/>
    <w:qFormat/>
    <w:uiPriority w:val="99"/>
    <w:rPr>
      <w:rFonts w:ascii="宋体" w:hAnsi="Courier New"/>
      <w:kern w:val="0"/>
      <w:sz w:val="20"/>
      <w:szCs w:val="21"/>
    </w:rPr>
  </w:style>
  <w:style w:type="paragraph" w:styleId="7">
    <w:name w:val="Date"/>
    <w:basedOn w:val="1"/>
    <w:next w:val="1"/>
    <w:link w:val="18"/>
    <w:qFormat/>
    <w:uiPriority w:val="99"/>
    <w:pPr>
      <w:ind w:left="100" w:leftChars="2500"/>
    </w:pPr>
  </w:style>
  <w:style w:type="paragraph" w:styleId="8">
    <w:name w:val="Balloon Text"/>
    <w:basedOn w:val="1"/>
    <w:link w:val="25"/>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character" w:styleId="12">
    <w:name w:val="Strong"/>
    <w:qFormat/>
    <w:locked/>
    <w:uiPriority w:val="22"/>
    <w:rPr>
      <w:b/>
      <w:bCs/>
    </w:rPr>
  </w:style>
  <w:style w:type="table" w:styleId="14">
    <w:name w:val="Table Grid"/>
    <w:basedOn w:val="13"/>
    <w:qFormat/>
    <w:locked/>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5">
    <w:name w:val="标题 1 Char"/>
    <w:basedOn w:val="11"/>
    <w:link w:val="2"/>
    <w:qFormat/>
    <w:locked/>
    <w:uiPriority w:val="99"/>
    <w:rPr>
      <w:rFonts w:ascii="Times New Roman" w:hAnsi="Times New Roman" w:eastAsia="宋体" w:cs="Times New Roman"/>
      <w:b/>
      <w:bCs/>
      <w:kern w:val="44"/>
      <w:sz w:val="44"/>
      <w:szCs w:val="44"/>
    </w:rPr>
  </w:style>
  <w:style w:type="character" w:customStyle="1" w:styleId="16">
    <w:name w:val="标题 2 Char"/>
    <w:basedOn w:val="11"/>
    <w:link w:val="3"/>
    <w:qFormat/>
    <w:locked/>
    <w:uiPriority w:val="99"/>
    <w:rPr>
      <w:rFonts w:ascii="Arial" w:hAnsi="Arial" w:eastAsia="黑体" w:cs="Times New Roman"/>
      <w:b/>
      <w:bCs/>
      <w:sz w:val="32"/>
      <w:szCs w:val="32"/>
    </w:rPr>
  </w:style>
  <w:style w:type="character" w:customStyle="1" w:styleId="17">
    <w:name w:val="纯文本 Char1"/>
    <w:basedOn w:val="11"/>
    <w:link w:val="6"/>
    <w:semiHidden/>
    <w:qFormat/>
    <w:locked/>
    <w:uiPriority w:val="99"/>
    <w:rPr>
      <w:rFonts w:ascii="宋体" w:hAnsi="Courier New" w:eastAsia="宋体" w:cs="Courier New"/>
      <w:sz w:val="21"/>
      <w:szCs w:val="21"/>
    </w:rPr>
  </w:style>
  <w:style w:type="character" w:customStyle="1" w:styleId="18">
    <w:name w:val="日期 Char"/>
    <w:basedOn w:val="11"/>
    <w:link w:val="7"/>
    <w:semiHidden/>
    <w:qFormat/>
    <w:locked/>
    <w:uiPriority w:val="99"/>
    <w:rPr>
      <w:rFonts w:cs="Times New Roman"/>
      <w:sz w:val="24"/>
      <w:szCs w:val="24"/>
    </w:rPr>
  </w:style>
  <w:style w:type="character" w:customStyle="1" w:styleId="19">
    <w:name w:val="纯文本 Char"/>
    <w:qFormat/>
    <w:uiPriority w:val="99"/>
    <w:rPr>
      <w:rFonts w:ascii="宋体" w:hAnsi="Courier New" w:eastAsia="宋体"/>
      <w:sz w:val="21"/>
    </w:rPr>
  </w:style>
  <w:style w:type="paragraph" w:customStyle="1" w:styleId="20">
    <w:name w:val="Char"/>
    <w:basedOn w:val="1"/>
    <w:qFormat/>
    <w:uiPriority w:val="99"/>
    <w:pPr>
      <w:tabs>
        <w:tab w:val="right" w:pos="-2120"/>
      </w:tabs>
      <w:snapToGrid w:val="0"/>
    </w:pPr>
    <w:rPr>
      <w:rFonts w:ascii="Times New Roman" w:hAnsi="Times New Roman"/>
    </w:rPr>
  </w:style>
  <w:style w:type="character" w:customStyle="1" w:styleId="21">
    <w:name w:val="正文文本 Char"/>
    <w:basedOn w:val="11"/>
    <w:link w:val="5"/>
    <w:qFormat/>
    <w:locked/>
    <w:uiPriority w:val="99"/>
    <w:rPr>
      <w:rFonts w:cs="Times New Roman"/>
      <w:kern w:val="2"/>
      <w:sz w:val="24"/>
      <w:szCs w:val="24"/>
    </w:rPr>
  </w:style>
  <w:style w:type="character" w:customStyle="1" w:styleId="22">
    <w:name w:val="页眉 Char"/>
    <w:basedOn w:val="11"/>
    <w:link w:val="10"/>
    <w:qFormat/>
    <w:locked/>
    <w:uiPriority w:val="99"/>
    <w:rPr>
      <w:rFonts w:eastAsia="宋体" w:cs="Times New Roman"/>
      <w:kern w:val="2"/>
      <w:sz w:val="18"/>
      <w:szCs w:val="18"/>
    </w:rPr>
  </w:style>
  <w:style w:type="character" w:customStyle="1" w:styleId="23">
    <w:name w:val="Char Char4"/>
    <w:qFormat/>
    <w:uiPriority w:val="99"/>
    <w:rPr>
      <w:rFonts w:eastAsia="宋体"/>
      <w:b/>
      <w:kern w:val="44"/>
      <w:sz w:val="44"/>
      <w:lang w:val="en-US" w:eastAsia="zh-CN"/>
    </w:rPr>
  </w:style>
  <w:style w:type="character" w:customStyle="1" w:styleId="24">
    <w:name w:val="页脚 Char"/>
    <w:basedOn w:val="11"/>
    <w:link w:val="9"/>
    <w:semiHidden/>
    <w:qFormat/>
    <w:uiPriority w:val="99"/>
    <w:rPr>
      <w:kern w:val="2"/>
      <w:sz w:val="18"/>
      <w:szCs w:val="18"/>
    </w:rPr>
  </w:style>
  <w:style w:type="character" w:customStyle="1" w:styleId="25">
    <w:name w:val="批注框文本 Char"/>
    <w:basedOn w:val="11"/>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65EA6C-021D-4A59-B371-CE3BC8AC74E6}">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20</Pages>
  <Words>1843</Words>
  <Characters>10511</Characters>
  <Lines>87</Lines>
  <Paragraphs>24</Paragraphs>
  <ScaleCrop>false</ScaleCrop>
  <LinksUpToDate>false</LinksUpToDate>
  <CharactersWithSpaces>12330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2018-01-28T08:05:00Z</dcterms:created>
  <dc:creator>Administrator</dc:creator>
  <cp:lastModifiedBy>dell</cp:lastModifiedBy>
  <cp:lastPrinted>2017-08-01T07:13:00Z</cp:lastPrinted>
  <dcterms:modified xsi:type="dcterms:W3CDTF">2018-01-28T09:00:37Z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