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drawing>
          <wp:inline distT="0" distB="0" distL="0" distR="0">
            <wp:extent cx="956945" cy="925195"/>
            <wp:effectExtent l="19050" t="0" r="0" b="0"/>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6"/>
                    <a:srcRect/>
                    <a:stretch>
                      <a:fillRect/>
                    </a:stretch>
                  </pic:blipFill>
                  <pic:spPr>
                    <a:xfrm>
                      <a:off x="0" y="0"/>
                      <a:ext cx="956945" cy="925195"/>
                    </a:xfrm>
                    <a:prstGeom prst="rect">
                      <a:avLst/>
                    </a:prstGeom>
                    <a:noFill/>
                    <a:ln w="9525">
                      <a:noFill/>
                      <a:miter lim="800000"/>
                      <a:headEnd/>
                      <a:tailEnd/>
                    </a:ln>
                  </pic:spPr>
                </pic:pic>
              </a:graphicData>
            </a:graphic>
          </wp:inline>
        </w:drawing>
      </w:r>
    </w:p>
    <w:p>
      <w:pPr>
        <w:jc w:val="center"/>
        <w:rPr>
          <w:sz w:val="32"/>
          <w:szCs w:val="32"/>
        </w:rPr>
      </w:pPr>
      <w:r>
        <w:rPr>
          <w:sz w:val="32"/>
          <w:szCs w:val="32"/>
        </w:rPr>
        <w:drawing>
          <wp:inline distT="0" distB="0" distL="0" distR="0">
            <wp:extent cx="3434080" cy="110553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a:srcRect/>
                    <a:stretch>
                      <a:fillRect/>
                    </a:stretch>
                  </pic:blipFill>
                  <pic:spPr>
                    <a:xfrm>
                      <a:off x="0" y="0"/>
                      <a:ext cx="3434080" cy="1105535"/>
                    </a:xfrm>
                    <a:prstGeom prst="rect">
                      <a:avLst/>
                    </a:prstGeom>
                    <a:noFill/>
                    <a:ln w="9525">
                      <a:noFill/>
                      <a:miter lim="800000"/>
                      <a:headEnd/>
                      <a:tailEnd/>
                    </a:ln>
                  </pic:spPr>
                </pic:pic>
              </a:graphicData>
            </a:graphic>
          </wp:inline>
        </w:drawing>
      </w:r>
    </w:p>
    <w:p>
      <w:pPr>
        <w:jc w:val="center"/>
        <w:rPr>
          <w:sz w:val="32"/>
          <w:szCs w:val="32"/>
        </w:rPr>
      </w:pPr>
    </w:p>
    <w:p>
      <w:pPr>
        <w:jc w:val="center"/>
        <w:rPr>
          <w:rFonts w:ascii="黑体" w:hAnsi="黑体" w:eastAsia="黑体"/>
          <w:b/>
          <w:sz w:val="88"/>
          <w:szCs w:val="88"/>
        </w:rPr>
      </w:pPr>
      <w:r>
        <w:rPr>
          <w:rFonts w:hint="eastAsia" w:ascii="黑体" w:hAnsi="黑体" w:eastAsia="黑体"/>
          <w:b/>
          <w:sz w:val="88"/>
          <w:szCs w:val="88"/>
        </w:rPr>
        <w:t>招标文件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tabs>
          <w:tab w:val="left" w:pos="3240"/>
        </w:tabs>
        <w:spacing w:line="300" w:lineRule="auto"/>
        <w:ind w:firstLine="560" w:firstLineChars="200"/>
        <w:rPr>
          <w:rFonts w:asciiTheme="minorEastAsia" w:hAnsiTheme="minorEastAsia" w:eastAsiaTheme="minorEastAsia"/>
          <w:sz w:val="28"/>
          <w:szCs w:val="28"/>
        </w:rPr>
      </w:pPr>
      <w:r>
        <w:rPr>
          <w:rFonts w:hint="eastAsia"/>
          <w:sz w:val="28"/>
          <w:szCs w:val="28"/>
        </w:rPr>
        <w:t>项目名称：</w:t>
      </w:r>
      <w:r>
        <w:rPr>
          <w:rFonts w:hint="eastAsia" w:asciiTheme="minorEastAsia" w:hAnsiTheme="minorEastAsia" w:eastAsiaTheme="minorEastAsia"/>
          <w:sz w:val="28"/>
          <w:szCs w:val="28"/>
          <w:u w:val="none"/>
        </w:rPr>
        <w:t xml:space="preserve">长江大学“河蟹全程可控生态养殖技术研究与示范推广”项目实验耗材采购  </w:t>
      </w:r>
      <w:r>
        <w:rPr>
          <w:rFonts w:hint="eastAsia" w:asciiTheme="minorEastAsia" w:hAnsiTheme="minorEastAsia" w:eastAsiaTheme="minorEastAsia"/>
          <w:sz w:val="28"/>
          <w:szCs w:val="28"/>
        </w:rPr>
        <w:t xml:space="preserve">    </w:t>
      </w:r>
    </w:p>
    <w:p>
      <w:pPr>
        <w:ind w:firstLine="560" w:firstLineChars="200"/>
        <w:jc w:val="left"/>
        <w:rPr>
          <w:sz w:val="28"/>
          <w:szCs w:val="28"/>
        </w:rPr>
      </w:pPr>
      <w:r>
        <w:rPr>
          <w:rFonts w:hint="eastAsia"/>
          <w:sz w:val="28"/>
          <w:szCs w:val="28"/>
        </w:rPr>
        <w:t>项目编号：CDCG2017-109</w:t>
      </w:r>
    </w:p>
    <w:p>
      <w:pPr>
        <w:ind w:firstLine="560" w:firstLineChars="200"/>
        <w:jc w:val="left"/>
        <w:rPr>
          <w:sz w:val="28"/>
          <w:szCs w:val="28"/>
          <w:u w:val="none"/>
        </w:rPr>
      </w:pPr>
      <w:r>
        <w:rPr>
          <w:rFonts w:hint="eastAsia"/>
          <w:sz w:val="28"/>
          <w:szCs w:val="28"/>
        </w:rPr>
        <w:t>采购单位：</w:t>
      </w:r>
      <w:r>
        <w:rPr>
          <w:rFonts w:hint="eastAsia"/>
          <w:sz w:val="28"/>
          <w:szCs w:val="28"/>
          <w:u w:val="none"/>
        </w:rPr>
        <w:t xml:space="preserve">动物科学学院    </w:t>
      </w:r>
    </w:p>
    <w:p>
      <w:pPr>
        <w:ind w:firstLine="560" w:firstLineChars="200"/>
        <w:jc w:val="left"/>
        <w:rPr>
          <w:sz w:val="28"/>
          <w:szCs w:val="28"/>
          <w:u w:val="none"/>
        </w:rPr>
      </w:pPr>
      <w:r>
        <w:rPr>
          <w:rFonts w:hint="eastAsia"/>
          <w:sz w:val="28"/>
          <w:szCs w:val="28"/>
          <w:u w:val="none"/>
        </w:rPr>
        <w:t xml:space="preserve">采购时间：2017年12月12日  </w:t>
      </w:r>
    </w:p>
    <w:p>
      <w:pPr>
        <w:jc w:val="center"/>
        <w:rPr>
          <w:sz w:val="28"/>
          <w:szCs w:val="28"/>
        </w:rPr>
      </w:pPr>
    </w:p>
    <w:p>
      <w:pPr>
        <w:jc w:val="center"/>
        <w:rPr>
          <w:sz w:val="28"/>
          <w:szCs w:val="28"/>
        </w:rPr>
      </w:pPr>
      <w:r>
        <w:rPr>
          <w:rFonts w:hint="eastAsia"/>
          <w:sz w:val="28"/>
          <w:szCs w:val="28"/>
        </w:rPr>
        <w:t>长江大学采购与招投标管理处</w:t>
      </w:r>
    </w:p>
    <w:p>
      <w:pPr>
        <w:jc w:val="center"/>
        <w:rPr>
          <w:sz w:val="28"/>
          <w:szCs w:val="28"/>
        </w:rPr>
      </w:pPr>
      <w:r>
        <w:rPr>
          <w:rFonts w:hint="eastAsia"/>
          <w:sz w:val="28"/>
          <w:szCs w:val="28"/>
        </w:rPr>
        <w:t>二</w:t>
      </w:r>
      <w:r>
        <w:rPr>
          <w:rFonts w:hint="eastAsia" w:ascii="宋体" w:hAnsi="宋体"/>
          <w:sz w:val="28"/>
          <w:szCs w:val="28"/>
        </w:rPr>
        <w:t>○一七年 十二 月</w:t>
      </w:r>
    </w:p>
    <w:p>
      <w:pPr>
        <w:spacing w:line="300" w:lineRule="auto"/>
        <w:ind w:left="420" w:hanging="420"/>
        <w:jc w:val="center"/>
        <w:rPr>
          <w:rFonts w:ascii="仿宋_GB2312" w:hAnsi="宋体" w:eastAsia="仿宋_GB2312"/>
          <w:b/>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rPr>
        <w:t>第一章 询价邀请函</w:t>
      </w:r>
    </w:p>
    <w:p>
      <w:pPr>
        <w:tabs>
          <w:tab w:val="left" w:pos="3240"/>
        </w:tabs>
        <w:spacing w:line="300" w:lineRule="auto"/>
        <w:ind w:firstLine="480" w:firstLineChars="200"/>
        <w:rPr>
          <w:rFonts w:asciiTheme="minorEastAsia" w:hAnsiTheme="minorEastAsia" w:eastAsiaTheme="minorEastAsia"/>
          <w:sz w:val="28"/>
          <w:szCs w:val="28"/>
          <w:u w:val="single"/>
        </w:rPr>
      </w:pPr>
      <w:r>
        <w:rPr>
          <w:rFonts w:hint="eastAsia" w:asciiTheme="minorEastAsia" w:hAnsiTheme="minorEastAsia" w:eastAsiaTheme="minorEastAsia"/>
          <w:sz w:val="24"/>
        </w:rPr>
        <w:t>长江大学动物科学学院拟对“长江大学“河蟹全程可控生态养殖技术研究与示范推广”项目所需货物进行询价采购，欢迎符合条件的供应商参与。</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一、采购项目编号：CDCG2017-109</w:t>
      </w: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二、采购项目名称：长江大学“河蟹全程可控生态养殖技术研究与示范推广”项目实验耗材采购</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三、采购内容：实验耗材一批（预算金额：4.8万元）；</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四、采购方式：询价采购</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五、投标人资格要求</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1、投标人应具备《政府采购法》第二十二条规定的条件</w:t>
      </w:r>
      <w:r>
        <w:rPr>
          <w:rFonts w:hint="eastAsia" w:asciiTheme="minorEastAsia" w:hAnsiTheme="minorEastAsia" w:eastAsiaTheme="minorEastAsia"/>
          <w:sz w:val="24"/>
        </w:rPr>
        <w:t>，且是</w:t>
      </w:r>
      <w:r>
        <w:rPr>
          <w:rFonts w:asciiTheme="minorEastAsia" w:hAnsiTheme="minorEastAsia" w:eastAsiaTheme="minorEastAsia"/>
          <w:sz w:val="24"/>
        </w:rPr>
        <w:t>是中华人民共和国境内注册并取得营业执照的独立法人</w:t>
      </w:r>
      <w:r>
        <w:rPr>
          <w:rFonts w:hint="eastAsia" w:asciiTheme="minorEastAsia" w:hAnsiTheme="minorEastAsia" w:eastAsiaTheme="minorEastAsia"/>
          <w:sz w:val="24"/>
        </w:rPr>
        <w:t>或其他组织</w:t>
      </w:r>
      <w:r>
        <w:rPr>
          <w:rFonts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2、投标人必须具有</w:t>
      </w:r>
      <w:r>
        <w:rPr>
          <w:rFonts w:hint="eastAsia" w:asciiTheme="minorEastAsia" w:hAnsiTheme="minorEastAsia" w:eastAsiaTheme="minorEastAsia"/>
          <w:sz w:val="24"/>
        </w:rPr>
        <w:t>相应的经营场所</w:t>
      </w:r>
      <w:r>
        <w:rPr>
          <w:rFonts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3、投标人必须有相应的经营范围</w:t>
      </w:r>
      <w:r>
        <w:rPr>
          <w:rFonts w:hint="eastAsia" w:asciiTheme="minorEastAsia" w:hAnsiTheme="minorEastAsia" w:eastAsiaTheme="minorEastAsia"/>
          <w:sz w:val="24"/>
          <w:lang w:eastAsia="zh-CN"/>
        </w:rPr>
        <w:t>；</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4、投标人参加本次采购活动前三年内，在经营活动中没有重大违法记录</w:t>
      </w:r>
      <w:r>
        <w:rPr>
          <w:rFonts w:hint="eastAsia" w:asciiTheme="minorEastAsia" w:hAnsiTheme="minorEastAsia" w:eastAsiaTheme="minorEastAsia"/>
          <w:sz w:val="24"/>
          <w:lang w:eastAsia="zh-CN"/>
        </w:rPr>
        <w:t>；</w:t>
      </w:r>
    </w:p>
    <w:p>
      <w:pPr>
        <w:keepNext w:val="0"/>
        <w:keepLines w:val="0"/>
        <w:widowControl/>
        <w:suppressLineNumbers w:val="0"/>
        <w:spacing w:before="75" w:beforeAutospacing="0" w:after="75" w:afterAutospacing="0"/>
        <w:ind w:left="0" w:right="0" w:firstLine="480"/>
        <w:jc w:val="left"/>
        <w:rPr>
          <w:rFonts w:hint="eastAsia" w:asciiTheme="minorEastAsia" w:hAnsiTheme="minorEastAsia" w:eastAsiaTheme="minorEastAsia"/>
          <w:sz w:val="24"/>
          <w:lang w:val="en-US" w:eastAsia="zh-CN"/>
        </w:rPr>
      </w:pPr>
      <w:r>
        <w:rPr>
          <w:rFonts w:ascii="宋体" w:hAnsi="宋体" w:eastAsia="宋体" w:cs="宋体"/>
          <w:kern w:val="0"/>
          <w:sz w:val="24"/>
          <w:szCs w:val="24"/>
          <w:lang w:val="en-US" w:eastAsia="zh-CN" w:bidi="ar"/>
        </w:rPr>
        <w:t>5、本项目不接受联合体投标。</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六、询价文件的领取：</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投标人必须携带：营业执照</w:t>
      </w:r>
      <w:r>
        <w:rPr>
          <w:rFonts w:hint="eastAsia" w:asciiTheme="minorEastAsia" w:hAnsiTheme="minorEastAsia" w:eastAsiaTheme="minorEastAsia"/>
          <w:sz w:val="24"/>
        </w:rPr>
        <w:t>副本（非三证合一的还需提供</w:t>
      </w:r>
      <w:r>
        <w:rPr>
          <w:rFonts w:asciiTheme="minorEastAsia" w:hAnsiTheme="minorEastAsia" w:eastAsiaTheme="minorEastAsia"/>
          <w:sz w:val="24"/>
        </w:rPr>
        <w:t>税务登记证</w:t>
      </w:r>
      <w:r>
        <w:rPr>
          <w:rFonts w:hint="eastAsia" w:asciiTheme="minorEastAsia" w:hAnsiTheme="minorEastAsia" w:eastAsiaTheme="minorEastAsia"/>
          <w:sz w:val="24"/>
        </w:rPr>
        <w:t>副本</w:t>
      </w:r>
      <w:r>
        <w:rPr>
          <w:rFonts w:asciiTheme="minorEastAsia" w:hAnsiTheme="minorEastAsia" w:eastAsiaTheme="minorEastAsia"/>
          <w:sz w:val="24"/>
        </w:rPr>
        <w:t>、</w:t>
      </w:r>
      <w:r>
        <w:rPr>
          <w:rFonts w:hint="eastAsia" w:asciiTheme="minorEastAsia" w:hAnsiTheme="minorEastAsia" w:eastAsiaTheme="minorEastAsia"/>
          <w:sz w:val="24"/>
        </w:rPr>
        <w:t>组织机构</w:t>
      </w:r>
      <w:r>
        <w:rPr>
          <w:rFonts w:asciiTheme="minorEastAsia" w:hAnsiTheme="minorEastAsia" w:eastAsiaTheme="minorEastAsia"/>
          <w:sz w:val="24"/>
        </w:rPr>
        <w:t>代码证</w:t>
      </w:r>
      <w:r>
        <w:rPr>
          <w:rFonts w:hint="eastAsia" w:asciiTheme="minorEastAsia" w:hAnsiTheme="minorEastAsia" w:eastAsiaTheme="minorEastAsia"/>
          <w:sz w:val="24"/>
        </w:rPr>
        <w:t>副本）、</w:t>
      </w:r>
      <w:r>
        <w:rPr>
          <w:rFonts w:asciiTheme="minorEastAsia" w:hAnsiTheme="minorEastAsia" w:eastAsiaTheme="minorEastAsia"/>
          <w:sz w:val="24"/>
        </w:rPr>
        <w:t>法人授权委托书及被委托人身份证等材料的原件和复印件（复印件加盖公章且不退）</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报名时间：201</w:t>
      </w:r>
      <w:r>
        <w:rPr>
          <w:rFonts w:hint="eastAsia" w:asciiTheme="minorEastAsia" w:hAnsiTheme="minorEastAsia" w:eastAsiaTheme="minorEastAsia"/>
          <w:sz w:val="24"/>
        </w:rPr>
        <w:t>7</w:t>
      </w:r>
      <w:r>
        <w:rPr>
          <w:rFonts w:asciiTheme="minorEastAsia" w:hAnsiTheme="minorEastAsia" w:eastAsiaTheme="minorEastAsia"/>
          <w:sz w:val="24"/>
        </w:rPr>
        <w:t>年</w:t>
      </w:r>
      <w:r>
        <w:rPr>
          <w:rFonts w:hint="eastAsia" w:asciiTheme="minorEastAsia" w:hAnsiTheme="minorEastAsia" w:eastAsiaTheme="minorEastAsia"/>
          <w:sz w:val="24"/>
        </w:rPr>
        <w:t>12</w:t>
      </w:r>
      <w:r>
        <w:rPr>
          <w:rFonts w:asciiTheme="minorEastAsia" w:hAnsiTheme="minorEastAsia" w:eastAsiaTheme="minorEastAsia"/>
          <w:sz w:val="24"/>
        </w:rPr>
        <w:t>月</w:t>
      </w:r>
      <w:r>
        <w:rPr>
          <w:rFonts w:hint="eastAsia" w:asciiTheme="minorEastAsia" w:hAnsiTheme="minorEastAsia" w:eastAsiaTheme="minorEastAsia"/>
          <w:sz w:val="24"/>
          <w:lang w:val="en-US" w:eastAsia="zh-CN"/>
        </w:rPr>
        <w:t>13</w:t>
      </w:r>
      <w:r>
        <w:rPr>
          <w:rFonts w:asciiTheme="minorEastAsia" w:hAnsiTheme="minorEastAsia" w:eastAsiaTheme="minorEastAsia"/>
          <w:sz w:val="24"/>
        </w:rPr>
        <w:t>日至201</w:t>
      </w:r>
      <w:r>
        <w:rPr>
          <w:rFonts w:hint="eastAsia" w:asciiTheme="minorEastAsia" w:hAnsiTheme="minorEastAsia" w:eastAsiaTheme="minorEastAsia"/>
          <w:sz w:val="24"/>
        </w:rPr>
        <w:t>7</w:t>
      </w:r>
      <w:r>
        <w:rPr>
          <w:rFonts w:asciiTheme="minorEastAsia" w:hAnsiTheme="minorEastAsia" w:eastAsiaTheme="minorEastAsia"/>
          <w:sz w:val="24"/>
        </w:rPr>
        <w:t>年</w:t>
      </w:r>
      <w:r>
        <w:rPr>
          <w:rFonts w:hint="eastAsia" w:asciiTheme="minorEastAsia" w:hAnsiTheme="minorEastAsia" w:eastAsiaTheme="minorEastAsia"/>
          <w:sz w:val="24"/>
        </w:rPr>
        <w:t>12</w:t>
      </w:r>
      <w:r>
        <w:rPr>
          <w:rFonts w:asciiTheme="minorEastAsia" w:hAnsiTheme="minorEastAsia" w:eastAsiaTheme="minorEastAsia"/>
          <w:sz w:val="24"/>
        </w:rPr>
        <w:t>月</w:t>
      </w:r>
      <w:r>
        <w:rPr>
          <w:rFonts w:hint="eastAsia" w:asciiTheme="minorEastAsia" w:hAnsiTheme="minorEastAsia" w:eastAsiaTheme="minorEastAsia"/>
          <w:sz w:val="24"/>
        </w:rPr>
        <w:t>15</w:t>
      </w:r>
      <w:r>
        <w:rPr>
          <w:rFonts w:asciiTheme="minorEastAsia" w:hAnsiTheme="minorEastAsia" w:eastAsiaTheme="minorEastAsia"/>
          <w:sz w:val="24"/>
        </w:rPr>
        <w:t>日每天上午9:00时至1</w:t>
      </w:r>
      <w:r>
        <w:rPr>
          <w:rFonts w:hint="eastAsia" w:asciiTheme="minorEastAsia" w:hAnsiTheme="minorEastAsia" w:eastAsiaTheme="minorEastAsia"/>
          <w:sz w:val="24"/>
        </w:rPr>
        <w:t>1</w:t>
      </w:r>
      <w:r>
        <w:rPr>
          <w:rFonts w:asciiTheme="minorEastAsia" w:hAnsiTheme="minorEastAsia" w:eastAsiaTheme="minorEastAsia"/>
          <w:sz w:val="24"/>
        </w:rPr>
        <w:t>：00，下午14:00至17:00时（</w:t>
      </w:r>
      <w:r>
        <w:rPr>
          <w:rFonts w:hint="eastAsia" w:asciiTheme="minorEastAsia" w:hAnsiTheme="minorEastAsia" w:eastAsiaTheme="minorEastAsia"/>
          <w:sz w:val="24"/>
        </w:rPr>
        <w:t>法定节假日除外</w:t>
      </w:r>
      <w:r>
        <w:rPr>
          <w:rFonts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地　点：长江大学动物科学学院（西校区5号教学楼8楼动科学院办公室）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联系人：阮国良    联系电话：18986660818</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七、询价文件的递交：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询价文件递交时间：</w:t>
      </w:r>
      <w:r>
        <w:rPr>
          <w:rFonts w:asciiTheme="minorEastAsia" w:hAnsiTheme="minorEastAsia" w:eastAsiaTheme="minorEastAsia"/>
          <w:sz w:val="24"/>
        </w:rPr>
        <w:t>201</w:t>
      </w:r>
      <w:r>
        <w:rPr>
          <w:rFonts w:hint="eastAsia" w:asciiTheme="minorEastAsia" w:hAnsiTheme="minorEastAsia" w:eastAsiaTheme="minorEastAsia"/>
          <w:sz w:val="24"/>
        </w:rPr>
        <w:t>7年12月</w:t>
      </w:r>
      <w:r>
        <w:rPr>
          <w:rFonts w:hint="eastAsia" w:asciiTheme="minorEastAsia" w:hAnsiTheme="minorEastAsia" w:eastAsiaTheme="minorEastAsia"/>
          <w:sz w:val="24"/>
          <w:lang w:val="en-US" w:eastAsia="zh-CN"/>
        </w:rPr>
        <w:t>18</w:t>
      </w:r>
      <w:r>
        <w:rPr>
          <w:rFonts w:hint="eastAsia" w:asciiTheme="minorEastAsia" w:hAnsiTheme="minorEastAsia" w:eastAsiaTheme="minorEastAsia"/>
          <w:sz w:val="24"/>
        </w:rPr>
        <w:t>日上午</w:t>
      </w:r>
      <w:r>
        <w:rPr>
          <w:rFonts w:asciiTheme="minorEastAsia" w:hAnsiTheme="minorEastAsia" w:eastAsiaTheme="minorEastAsia"/>
          <w:sz w:val="24"/>
        </w:rPr>
        <w:t>9:00</w:t>
      </w:r>
      <w:r>
        <w:rPr>
          <w:rFonts w:hint="eastAsia" w:asciiTheme="minorEastAsia" w:hAnsiTheme="minorEastAsia" w:eastAsiaTheme="minorEastAsia"/>
          <w:sz w:val="24"/>
        </w:rPr>
        <w:t>至</w:t>
      </w:r>
      <w:r>
        <w:rPr>
          <w:rFonts w:asciiTheme="minorEastAsia" w:hAnsiTheme="minorEastAsia" w:eastAsiaTheme="minorEastAsia"/>
          <w:sz w:val="24"/>
        </w:rPr>
        <w:t>9:30</w:t>
      </w:r>
      <w:r>
        <w:rPr>
          <w:rFonts w:hint="eastAsia" w:asciiTheme="minorEastAsia" w:hAnsiTheme="minorEastAsia" w:eastAsiaTheme="minorEastAsia"/>
          <w:sz w:val="24"/>
        </w:rPr>
        <w:t>分，逾期不受理投标（询价文件必须胶装成册，不留活页，密封投递）。</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询价文件递交地点：长江大学动物科学学院（西校区5号教学楼8楼动科学院办公室）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联系人：阮国良     联系电话：18986660818</w:t>
      </w:r>
    </w:p>
    <w:p>
      <w:pPr>
        <w:spacing w:line="360" w:lineRule="auto"/>
        <w:ind w:left="559" w:leftChars="266"/>
        <w:rPr>
          <w:rFonts w:asciiTheme="minorEastAsia" w:hAnsiTheme="minorEastAsia" w:eastAsiaTheme="minorEastAsia"/>
          <w:sz w:val="24"/>
        </w:rPr>
      </w:pPr>
      <w:r>
        <w:rPr>
          <w:rFonts w:hint="eastAsia" w:asciiTheme="minorEastAsia" w:hAnsiTheme="minorEastAsia" w:eastAsiaTheme="minorEastAsia"/>
          <w:sz w:val="24"/>
        </w:rPr>
        <w:t>八</w:t>
      </w:r>
      <w:r>
        <w:rPr>
          <w:rFonts w:hint="eastAsia" w:asciiTheme="minorEastAsia" w:hAnsiTheme="minorEastAsia" w:eastAsiaTheme="minorEastAsia"/>
          <w:color w:val="000000"/>
          <w:sz w:val="24"/>
        </w:rPr>
        <w:t>、</w:t>
      </w:r>
      <w:r>
        <w:rPr>
          <w:rFonts w:hint="eastAsia" w:asciiTheme="minorEastAsia" w:hAnsiTheme="minorEastAsia" w:eastAsiaTheme="minorEastAsia"/>
          <w:sz w:val="24"/>
        </w:rPr>
        <w:t>本项目已进入采购程序，如对询价公告及文件有疑异，请向长江大学采购与招投标管理处质疑。如质疑答复不满意，在答复期满后</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个工作日内向长江大学纪委办公室提起投诉。</w:t>
      </w:r>
    </w:p>
    <w:p>
      <w:pPr>
        <w:spacing w:line="360" w:lineRule="auto"/>
        <w:ind w:left="559" w:leftChars="266"/>
        <w:rPr>
          <w:rFonts w:asciiTheme="minorEastAsia" w:hAnsiTheme="minorEastAsia" w:eastAsiaTheme="minorEastAsia"/>
          <w:sz w:val="24"/>
        </w:rPr>
      </w:pPr>
      <w:r>
        <w:rPr>
          <w:rFonts w:hint="eastAsia" w:asciiTheme="minorEastAsia" w:hAnsiTheme="minorEastAsia" w:eastAsiaTheme="minorEastAsia"/>
          <w:sz w:val="24"/>
        </w:rPr>
        <w:t>九</w:t>
      </w:r>
      <w:r>
        <w:rPr>
          <w:rFonts w:asciiTheme="minorEastAsia" w:hAnsiTheme="minorEastAsia" w:eastAsiaTheme="minorEastAsia"/>
          <w:sz w:val="24"/>
        </w:rPr>
        <w:t>、联系方式</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长江大学动物科学学院（西校区5号教学楼8楼动科学院办公室）</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联系人：</w:t>
      </w:r>
      <w:r>
        <w:rPr>
          <w:rFonts w:hint="eastAsia" w:asciiTheme="minorEastAsia" w:hAnsiTheme="minorEastAsia" w:eastAsiaTheme="minorEastAsia"/>
          <w:sz w:val="24"/>
        </w:rPr>
        <w:t>阮国良</w:t>
      </w:r>
    </w:p>
    <w:p>
      <w:pPr>
        <w:widowControl/>
        <w:spacing w:line="360" w:lineRule="auto"/>
        <w:ind w:firstLine="480"/>
        <w:jc w:val="left"/>
        <w:rPr>
          <w:rFonts w:asciiTheme="minorEastAsia" w:hAnsiTheme="minorEastAsia" w:eastAsiaTheme="minorEastAsia"/>
          <w:sz w:val="24"/>
        </w:rPr>
      </w:pPr>
      <w:r>
        <w:rPr>
          <w:rFonts w:asciiTheme="minorEastAsia" w:hAnsiTheme="minorEastAsia" w:eastAsiaTheme="minorEastAsia"/>
          <w:sz w:val="24"/>
        </w:rPr>
        <w:t> 联系电话： </w:t>
      </w:r>
      <w:r>
        <w:rPr>
          <w:rFonts w:hint="eastAsia" w:asciiTheme="minorEastAsia" w:hAnsiTheme="minorEastAsia" w:eastAsiaTheme="minorEastAsia"/>
          <w:sz w:val="24"/>
        </w:rPr>
        <w:t>18986660818</w:t>
      </w:r>
    </w:p>
    <w:p>
      <w:pPr>
        <w:widowControl/>
        <w:spacing w:line="360" w:lineRule="auto"/>
        <w:ind w:firstLine="480"/>
        <w:jc w:val="left"/>
        <w:rPr>
          <w:rFonts w:asciiTheme="minorEastAsia" w:hAnsiTheme="minorEastAsia" w:eastAsiaTheme="minorEastAsia"/>
          <w:sz w:val="24"/>
        </w:rPr>
      </w:pPr>
    </w:p>
    <w:p>
      <w:pPr>
        <w:widowControl/>
        <w:spacing w:line="360" w:lineRule="auto"/>
        <w:ind w:firstLine="480"/>
        <w:jc w:val="right"/>
        <w:rPr>
          <w:rFonts w:asciiTheme="minorEastAsia" w:hAnsiTheme="minorEastAsia" w:eastAsiaTheme="minorEastAsia"/>
          <w:sz w:val="24"/>
        </w:rPr>
      </w:pPr>
      <w:r>
        <w:rPr>
          <w:rFonts w:hint="eastAsia" w:asciiTheme="minorEastAsia" w:hAnsiTheme="minorEastAsia" w:eastAsiaTheme="minorEastAsia"/>
          <w:sz w:val="24"/>
        </w:rPr>
        <w:t>长江大学采购与招投标管理处</w:t>
      </w:r>
    </w:p>
    <w:p>
      <w:pPr>
        <w:widowControl/>
        <w:spacing w:line="360" w:lineRule="auto"/>
        <w:ind w:firstLine="5880" w:firstLineChars="2450"/>
        <w:jc w:val="left"/>
        <w:rPr>
          <w:rFonts w:asciiTheme="minorEastAsia" w:hAnsiTheme="minorEastAsia" w:eastAsiaTheme="minorEastAsia"/>
          <w:sz w:val="24"/>
        </w:rPr>
      </w:pPr>
      <w:r>
        <w:rPr>
          <w:rFonts w:hint="eastAsia" w:asciiTheme="minorEastAsia" w:hAnsiTheme="minorEastAsia" w:eastAsiaTheme="minorEastAsia"/>
          <w:sz w:val="24"/>
        </w:rPr>
        <w:t>2017年12月12日</w:t>
      </w:r>
    </w:p>
    <w:p>
      <w:pPr>
        <w:spacing w:line="540" w:lineRule="exact"/>
        <w:ind w:firstLine="883" w:firstLineChars="200"/>
        <w:rPr>
          <w:rFonts w:ascii="仿宋_GB2312" w:eastAsia="仿宋_GB2312"/>
          <w:b/>
          <w:bCs/>
          <w:kern w:val="44"/>
          <w:sz w:val="44"/>
          <w:szCs w:val="44"/>
        </w:rPr>
      </w:pPr>
      <w:r>
        <w:rPr>
          <w:rFonts w:hint="eastAsia" w:ascii="仿宋_GB2312" w:eastAsia="仿宋_GB2312"/>
          <w:b/>
          <w:bCs/>
          <w:kern w:val="44"/>
          <w:sz w:val="44"/>
          <w:szCs w:val="44"/>
        </w:rPr>
        <w:t>  </w:t>
      </w:r>
    </w:p>
    <w:p>
      <w:pPr>
        <w:spacing w:line="540" w:lineRule="exact"/>
        <w:ind w:firstLine="883" w:firstLineChars="200"/>
        <w:rPr>
          <w:rFonts w:ascii="仿宋_GB2312" w:eastAsia="仿宋_GB2312"/>
          <w:b/>
          <w:bCs/>
          <w:kern w:val="44"/>
          <w:sz w:val="44"/>
          <w:szCs w:val="44"/>
        </w:rPr>
      </w:pPr>
      <w:r>
        <w:rPr>
          <w:rFonts w:hint="eastAsia" w:ascii="仿宋_GB2312" w:eastAsia="仿宋_GB2312"/>
          <w:b/>
          <w:bCs/>
          <w:kern w:val="44"/>
          <w:sz w:val="44"/>
          <w:szCs w:val="44"/>
        </w:rPr>
        <w:t xml:space="preserve">第二章 </w:t>
      </w:r>
      <w:bookmarkStart w:id="0" w:name="_Toc229456846"/>
      <w:r>
        <w:rPr>
          <w:rFonts w:hint="eastAsia" w:ascii="仿宋_GB2312" w:eastAsia="仿宋_GB2312"/>
          <w:b/>
          <w:bCs/>
          <w:kern w:val="44"/>
          <w:sz w:val="44"/>
          <w:szCs w:val="44"/>
        </w:rPr>
        <w:t>服务技术、商务要求</w:t>
      </w:r>
    </w:p>
    <w:bookmarkEnd w:id="0"/>
    <w:p>
      <w:pPr>
        <w:spacing w:afterLines="50" w:line="540" w:lineRule="exact"/>
        <w:ind w:firstLine="560" w:firstLineChars="200"/>
        <w:rPr>
          <w:rFonts w:hint="eastAsia" w:ascii="仿宋" w:hAnsi="仿宋" w:eastAsia="仿宋"/>
          <w:sz w:val="28"/>
          <w:szCs w:val="28"/>
        </w:rPr>
      </w:pPr>
      <w:bookmarkStart w:id="1" w:name="_Toc175733110"/>
      <w:r>
        <w:rPr>
          <w:rFonts w:hint="eastAsia" w:ascii="仿宋" w:hAnsi="仿宋" w:eastAsia="仿宋"/>
          <w:sz w:val="28"/>
          <w:szCs w:val="28"/>
        </w:rPr>
        <w:t>一、货物要求：</w:t>
      </w:r>
    </w:p>
    <w:tbl>
      <w:tblPr>
        <w:tblStyle w:val="21"/>
        <w:tblW w:w="90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401"/>
        <w:gridCol w:w="1662"/>
        <w:gridCol w:w="2030"/>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937" w:type="dxa"/>
            <w:vAlign w:val="center"/>
          </w:tcPr>
          <w:p>
            <w:pPr>
              <w:jc w:val="center"/>
              <w:rPr>
                <w:rFonts w:ascii="黑体" w:hAnsi="黑体" w:eastAsia="黑体"/>
                <w:sz w:val="24"/>
              </w:rPr>
            </w:pPr>
            <w:r>
              <w:rPr>
                <w:rFonts w:hint="eastAsia" w:ascii="黑体" w:hAnsi="黑体" w:eastAsia="黑体"/>
                <w:sz w:val="24"/>
              </w:rPr>
              <w:t>序号</w:t>
            </w:r>
          </w:p>
        </w:tc>
        <w:tc>
          <w:tcPr>
            <w:tcW w:w="2401" w:type="dxa"/>
            <w:vAlign w:val="center"/>
          </w:tcPr>
          <w:p>
            <w:pPr>
              <w:jc w:val="center"/>
              <w:rPr>
                <w:rFonts w:ascii="黑体" w:hAnsi="黑体" w:eastAsia="黑体"/>
                <w:sz w:val="24"/>
              </w:rPr>
            </w:pPr>
            <w:r>
              <w:rPr>
                <w:rFonts w:hint="eastAsia" w:ascii="黑体" w:hAnsi="黑体" w:eastAsia="黑体"/>
                <w:sz w:val="24"/>
              </w:rPr>
              <w:t>货物名称</w:t>
            </w:r>
          </w:p>
        </w:tc>
        <w:tc>
          <w:tcPr>
            <w:tcW w:w="1662" w:type="dxa"/>
            <w:vAlign w:val="center"/>
          </w:tcPr>
          <w:p>
            <w:pPr>
              <w:jc w:val="center"/>
              <w:rPr>
                <w:rFonts w:ascii="黑体" w:hAnsi="黑体" w:eastAsia="黑体"/>
                <w:sz w:val="24"/>
              </w:rPr>
            </w:pPr>
            <w:r>
              <w:rPr>
                <w:rFonts w:hint="eastAsia" w:ascii="黑体" w:hAnsi="黑体" w:eastAsia="黑体"/>
                <w:sz w:val="24"/>
              </w:rPr>
              <w:t>单位</w:t>
            </w:r>
          </w:p>
        </w:tc>
        <w:tc>
          <w:tcPr>
            <w:tcW w:w="2030" w:type="dxa"/>
            <w:vAlign w:val="center"/>
          </w:tcPr>
          <w:p>
            <w:pPr>
              <w:jc w:val="center"/>
              <w:rPr>
                <w:rFonts w:ascii="黑体" w:hAnsi="黑体" w:eastAsia="黑体"/>
                <w:sz w:val="24"/>
              </w:rPr>
            </w:pPr>
            <w:r>
              <w:rPr>
                <w:rFonts w:hint="eastAsia" w:ascii="黑体" w:hAnsi="黑体" w:eastAsia="黑体"/>
                <w:sz w:val="24"/>
              </w:rPr>
              <w:t>规格</w:t>
            </w:r>
          </w:p>
        </w:tc>
        <w:tc>
          <w:tcPr>
            <w:tcW w:w="2030" w:type="dxa"/>
            <w:vAlign w:val="center"/>
          </w:tcPr>
          <w:p>
            <w:pPr>
              <w:jc w:val="center"/>
              <w:rPr>
                <w:rFonts w:ascii="黑体" w:hAnsi="黑体" w:eastAsia="黑体"/>
                <w:sz w:val="24"/>
              </w:rPr>
            </w:pPr>
            <w:r>
              <w:rPr>
                <w:rFonts w:hint="eastAsia" w:ascii="黑体" w:hAnsi="黑体" w:eastAsia="黑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937" w:type="dxa"/>
            <w:vAlign w:val="center"/>
          </w:tcPr>
          <w:p>
            <w:pPr>
              <w:jc w:val="center"/>
              <w:rPr>
                <w:rFonts w:ascii="黑体" w:hAnsi="黑体" w:eastAsia="黑体"/>
                <w:sz w:val="24"/>
              </w:rPr>
            </w:pPr>
            <w:r>
              <w:rPr>
                <w:rFonts w:hint="eastAsia" w:ascii="黑体" w:hAnsi="黑体" w:eastAsia="黑体"/>
                <w:sz w:val="24"/>
              </w:rPr>
              <w:t>1</w:t>
            </w:r>
          </w:p>
        </w:tc>
        <w:tc>
          <w:tcPr>
            <w:tcW w:w="2401" w:type="dxa"/>
            <w:vAlign w:val="center"/>
          </w:tcPr>
          <w:p>
            <w:pPr>
              <w:jc w:val="center"/>
              <w:rPr>
                <w:rFonts w:ascii="黑体" w:hAnsi="黑体" w:eastAsia="黑体"/>
                <w:sz w:val="24"/>
              </w:rPr>
            </w:pPr>
            <w:r>
              <w:rPr>
                <w:rFonts w:hint="eastAsia" w:ascii="黑体" w:hAnsi="黑体" w:eastAsia="黑体"/>
                <w:sz w:val="24"/>
              </w:rPr>
              <w:t>离子对钙</w:t>
            </w:r>
          </w:p>
        </w:tc>
        <w:tc>
          <w:tcPr>
            <w:tcW w:w="1662" w:type="dxa"/>
            <w:vAlign w:val="center"/>
          </w:tcPr>
          <w:p>
            <w:pPr>
              <w:jc w:val="center"/>
              <w:rPr>
                <w:rFonts w:ascii="黑体" w:hAnsi="黑体" w:eastAsia="黑体"/>
                <w:sz w:val="24"/>
              </w:rPr>
            </w:pPr>
            <w:r>
              <w:rPr>
                <w:rFonts w:hint="eastAsia" w:ascii="黑体" w:hAnsi="黑体" w:eastAsia="黑体"/>
                <w:sz w:val="24"/>
              </w:rPr>
              <w:t>瓶</w:t>
            </w:r>
          </w:p>
        </w:tc>
        <w:tc>
          <w:tcPr>
            <w:tcW w:w="2030" w:type="dxa"/>
            <w:vAlign w:val="center"/>
          </w:tcPr>
          <w:p>
            <w:pPr>
              <w:jc w:val="center"/>
              <w:rPr>
                <w:rFonts w:ascii="黑体" w:hAnsi="黑体" w:eastAsia="黑体"/>
                <w:sz w:val="24"/>
              </w:rPr>
            </w:pPr>
            <w:r>
              <w:rPr>
                <w:rFonts w:hint="eastAsia" w:ascii="黑体" w:hAnsi="黑体" w:eastAsia="黑体"/>
                <w:sz w:val="24"/>
              </w:rPr>
              <w:t>瓶</w:t>
            </w:r>
            <w:r>
              <w:rPr>
                <w:rFonts w:hint="eastAsia" w:ascii="黑体" w:hAnsi="黑体" w:eastAsia="黑体"/>
                <w:color w:val="000000"/>
                <w:sz w:val="24"/>
              </w:rPr>
              <w:t>/500 mL</w:t>
            </w:r>
          </w:p>
        </w:tc>
        <w:tc>
          <w:tcPr>
            <w:tcW w:w="2030" w:type="dxa"/>
            <w:vAlign w:val="center"/>
          </w:tcPr>
          <w:p>
            <w:pPr>
              <w:jc w:val="center"/>
              <w:rPr>
                <w:rFonts w:ascii="黑体" w:hAnsi="黑体" w:eastAsia="黑体"/>
                <w:sz w:val="24"/>
              </w:rPr>
            </w:pPr>
            <w:r>
              <w:rPr>
                <w:rFonts w:hint="eastAsia" w:ascii="黑体" w:hAnsi="黑体" w:eastAsia="黑体"/>
                <w:sz w:val="24"/>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937" w:type="dxa"/>
            <w:vAlign w:val="center"/>
          </w:tcPr>
          <w:p>
            <w:pPr>
              <w:jc w:val="center"/>
              <w:rPr>
                <w:rFonts w:ascii="黑体" w:hAnsi="黑体" w:eastAsia="黑体"/>
                <w:sz w:val="24"/>
              </w:rPr>
            </w:pPr>
            <w:r>
              <w:rPr>
                <w:rFonts w:hint="eastAsia" w:ascii="黑体" w:hAnsi="黑体" w:eastAsia="黑体"/>
                <w:sz w:val="24"/>
              </w:rPr>
              <w:t>2</w:t>
            </w:r>
          </w:p>
        </w:tc>
        <w:tc>
          <w:tcPr>
            <w:tcW w:w="2401" w:type="dxa"/>
            <w:vAlign w:val="center"/>
          </w:tcPr>
          <w:p>
            <w:pPr>
              <w:jc w:val="center"/>
              <w:rPr>
                <w:rFonts w:ascii="黑体" w:hAnsi="黑体" w:eastAsia="黑体"/>
                <w:sz w:val="24"/>
              </w:rPr>
            </w:pPr>
            <w:r>
              <w:rPr>
                <w:rFonts w:hint="eastAsia" w:ascii="黑体" w:hAnsi="黑体" w:eastAsia="黑体"/>
                <w:sz w:val="24"/>
              </w:rPr>
              <w:t>降解灵</w:t>
            </w:r>
          </w:p>
        </w:tc>
        <w:tc>
          <w:tcPr>
            <w:tcW w:w="1662" w:type="dxa"/>
            <w:vAlign w:val="center"/>
          </w:tcPr>
          <w:p>
            <w:pPr>
              <w:jc w:val="center"/>
              <w:rPr>
                <w:rFonts w:ascii="黑体" w:hAnsi="黑体" w:eastAsia="黑体"/>
                <w:sz w:val="24"/>
              </w:rPr>
            </w:pPr>
            <w:r>
              <w:rPr>
                <w:rFonts w:hint="eastAsia" w:ascii="黑体" w:hAnsi="黑体" w:eastAsia="黑体"/>
                <w:sz w:val="24"/>
              </w:rPr>
              <w:t>包</w:t>
            </w:r>
          </w:p>
        </w:tc>
        <w:tc>
          <w:tcPr>
            <w:tcW w:w="2030" w:type="dxa"/>
            <w:vAlign w:val="center"/>
          </w:tcPr>
          <w:p>
            <w:pPr>
              <w:tabs>
                <w:tab w:val="left" w:pos="120"/>
              </w:tabs>
              <w:jc w:val="center"/>
              <w:rPr>
                <w:rFonts w:ascii="黑体" w:hAnsi="黑体" w:eastAsia="黑体"/>
                <w:sz w:val="24"/>
              </w:rPr>
            </w:pPr>
            <w:r>
              <w:rPr>
                <w:rFonts w:hint="eastAsia" w:ascii="黑体" w:hAnsi="黑体" w:eastAsia="黑体"/>
                <w:sz w:val="24"/>
              </w:rPr>
              <w:t>包</w:t>
            </w:r>
            <w:r>
              <w:rPr>
                <w:rFonts w:hint="eastAsia" w:ascii="黑体" w:hAnsi="黑体" w:eastAsia="黑体"/>
                <w:color w:val="000000"/>
                <w:sz w:val="24"/>
              </w:rPr>
              <w:t>/500 g</w:t>
            </w:r>
          </w:p>
        </w:tc>
        <w:tc>
          <w:tcPr>
            <w:tcW w:w="2030" w:type="dxa"/>
            <w:vAlign w:val="center"/>
          </w:tcPr>
          <w:p>
            <w:pPr>
              <w:jc w:val="center"/>
              <w:rPr>
                <w:rFonts w:ascii="黑体" w:hAnsi="黑体" w:eastAsia="黑体"/>
                <w:sz w:val="24"/>
              </w:rPr>
            </w:pPr>
            <w:r>
              <w:rPr>
                <w:rFonts w:hint="eastAsia" w:ascii="黑体" w:hAnsi="黑体" w:eastAsia="黑体"/>
                <w:sz w:val="24"/>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937" w:type="dxa"/>
            <w:vAlign w:val="center"/>
          </w:tcPr>
          <w:p>
            <w:pPr>
              <w:jc w:val="center"/>
              <w:rPr>
                <w:rFonts w:ascii="黑体" w:hAnsi="黑体" w:eastAsia="黑体"/>
                <w:sz w:val="24"/>
              </w:rPr>
            </w:pPr>
            <w:r>
              <w:rPr>
                <w:rFonts w:hint="eastAsia" w:ascii="黑体" w:hAnsi="黑体" w:eastAsia="黑体"/>
                <w:sz w:val="24"/>
              </w:rPr>
              <w:t>3</w:t>
            </w:r>
          </w:p>
        </w:tc>
        <w:tc>
          <w:tcPr>
            <w:tcW w:w="2401" w:type="dxa"/>
            <w:vAlign w:val="center"/>
          </w:tcPr>
          <w:p>
            <w:pPr>
              <w:jc w:val="center"/>
              <w:rPr>
                <w:rFonts w:ascii="黑体" w:hAnsi="黑体" w:eastAsia="黑体"/>
                <w:sz w:val="24"/>
              </w:rPr>
            </w:pPr>
            <w:r>
              <w:rPr>
                <w:rFonts w:hint="eastAsia" w:ascii="黑体" w:hAnsi="黑体" w:eastAsia="黑体"/>
                <w:sz w:val="24"/>
              </w:rPr>
              <w:t>黑金神</w:t>
            </w:r>
          </w:p>
        </w:tc>
        <w:tc>
          <w:tcPr>
            <w:tcW w:w="1662" w:type="dxa"/>
            <w:vAlign w:val="center"/>
          </w:tcPr>
          <w:p>
            <w:pPr>
              <w:jc w:val="center"/>
              <w:rPr>
                <w:rFonts w:ascii="黑体" w:hAnsi="黑体" w:eastAsia="黑体"/>
                <w:sz w:val="24"/>
              </w:rPr>
            </w:pPr>
            <w:r>
              <w:rPr>
                <w:rFonts w:hint="eastAsia" w:ascii="黑体" w:hAnsi="黑体" w:eastAsia="黑体"/>
                <w:sz w:val="24"/>
              </w:rPr>
              <w:t>包</w:t>
            </w:r>
          </w:p>
        </w:tc>
        <w:tc>
          <w:tcPr>
            <w:tcW w:w="2030" w:type="dxa"/>
            <w:vAlign w:val="center"/>
          </w:tcPr>
          <w:p>
            <w:pPr>
              <w:jc w:val="center"/>
              <w:rPr>
                <w:rFonts w:ascii="黑体" w:hAnsi="黑体" w:eastAsia="黑体"/>
                <w:sz w:val="24"/>
              </w:rPr>
            </w:pPr>
            <w:r>
              <w:rPr>
                <w:rFonts w:hint="eastAsia" w:ascii="黑体" w:hAnsi="黑体" w:eastAsia="黑体"/>
                <w:color w:val="000000"/>
                <w:sz w:val="24"/>
              </w:rPr>
              <w:t>包/10 kg</w:t>
            </w:r>
          </w:p>
        </w:tc>
        <w:tc>
          <w:tcPr>
            <w:tcW w:w="2030" w:type="dxa"/>
            <w:vAlign w:val="center"/>
          </w:tcPr>
          <w:p>
            <w:pPr>
              <w:jc w:val="center"/>
              <w:rPr>
                <w:rFonts w:ascii="黑体" w:hAnsi="黑体" w:eastAsia="黑体"/>
                <w:sz w:val="24"/>
              </w:rPr>
            </w:pPr>
            <w:r>
              <w:rPr>
                <w:rFonts w:hint="eastAsia" w:ascii="黑体" w:hAnsi="黑体" w:eastAsia="黑体"/>
                <w:sz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937" w:type="dxa"/>
            <w:vAlign w:val="center"/>
          </w:tcPr>
          <w:p>
            <w:pPr>
              <w:jc w:val="center"/>
              <w:rPr>
                <w:rFonts w:ascii="黑体" w:hAnsi="黑体" w:eastAsia="黑体"/>
                <w:sz w:val="24"/>
              </w:rPr>
            </w:pPr>
            <w:r>
              <w:rPr>
                <w:rFonts w:hint="eastAsia" w:ascii="黑体" w:hAnsi="黑体" w:eastAsia="黑体"/>
                <w:sz w:val="24"/>
              </w:rPr>
              <w:t>4</w:t>
            </w:r>
          </w:p>
        </w:tc>
        <w:tc>
          <w:tcPr>
            <w:tcW w:w="2401" w:type="dxa"/>
            <w:vAlign w:val="center"/>
          </w:tcPr>
          <w:p>
            <w:pPr>
              <w:jc w:val="center"/>
              <w:rPr>
                <w:rFonts w:ascii="黑体" w:hAnsi="黑体" w:eastAsia="黑体"/>
                <w:sz w:val="24"/>
              </w:rPr>
            </w:pPr>
            <w:r>
              <w:rPr>
                <w:rFonts w:hint="eastAsia" w:ascii="黑体" w:hAnsi="黑体" w:eastAsia="黑体"/>
                <w:sz w:val="24"/>
              </w:rPr>
              <w:t>藻幸福</w:t>
            </w:r>
          </w:p>
        </w:tc>
        <w:tc>
          <w:tcPr>
            <w:tcW w:w="1662" w:type="dxa"/>
            <w:vAlign w:val="center"/>
          </w:tcPr>
          <w:p>
            <w:pPr>
              <w:jc w:val="center"/>
              <w:rPr>
                <w:rFonts w:ascii="黑体" w:hAnsi="黑体" w:eastAsia="黑体"/>
                <w:sz w:val="24"/>
              </w:rPr>
            </w:pPr>
            <w:r>
              <w:rPr>
                <w:rFonts w:hint="eastAsia" w:ascii="黑体" w:hAnsi="黑体" w:eastAsia="黑体"/>
                <w:sz w:val="24"/>
              </w:rPr>
              <w:t>瓶</w:t>
            </w:r>
          </w:p>
        </w:tc>
        <w:tc>
          <w:tcPr>
            <w:tcW w:w="2030" w:type="dxa"/>
            <w:vAlign w:val="center"/>
          </w:tcPr>
          <w:p>
            <w:pPr>
              <w:jc w:val="center"/>
              <w:rPr>
                <w:rFonts w:ascii="黑体" w:hAnsi="黑体" w:eastAsia="黑体"/>
                <w:sz w:val="24"/>
              </w:rPr>
            </w:pPr>
            <w:r>
              <w:rPr>
                <w:rFonts w:hint="eastAsia" w:ascii="黑体" w:hAnsi="黑体" w:eastAsia="黑体"/>
                <w:color w:val="000000"/>
                <w:sz w:val="24"/>
              </w:rPr>
              <w:t>瓶/10 kg</w:t>
            </w:r>
          </w:p>
        </w:tc>
        <w:tc>
          <w:tcPr>
            <w:tcW w:w="2030" w:type="dxa"/>
            <w:vAlign w:val="center"/>
          </w:tcPr>
          <w:p>
            <w:pPr>
              <w:jc w:val="center"/>
              <w:rPr>
                <w:rFonts w:ascii="黑体" w:hAnsi="黑体" w:eastAsia="黑体"/>
                <w:sz w:val="24"/>
              </w:rPr>
            </w:pPr>
            <w:r>
              <w:rPr>
                <w:rFonts w:hint="eastAsia" w:ascii="黑体" w:hAnsi="黑体" w:eastAsia="黑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937" w:type="dxa"/>
            <w:vAlign w:val="center"/>
          </w:tcPr>
          <w:p>
            <w:pPr>
              <w:jc w:val="center"/>
              <w:rPr>
                <w:rFonts w:ascii="黑体" w:hAnsi="黑体" w:eastAsia="黑体"/>
                <w:sz w:val="24"/>
              </w:rPr>
            </w:pPr>
            <w:r>
              <w:rPr>
                <w:rFonts w:hint="eastAsia" w:ascii="黑体" w:hAnsi="黑体" w:eastAsia="黑体"/>
                <w:sz w:val="24"/>
              </w:rPr>
              <w:t>5</w:t>
            </w:r>
          </w:p>
        </w:tc>
        <w:tc>
          <w:tcPr>
            <w:tcW w:w="2401" w:type="dxa"/>
            <w:vAlign w:val="center"/>
          </w:tcPr>
          <w:p>
            <w:pPr>
              <w:jc w:val="center"/>
              <w:rPr>
                <w:rFonts w:ascii="黑体" w:hAnsi="黑体" w:eastAsia="黑体"/>
                <w:sz w:val="24"/>
              </w:rPr>
            </w:pPr>
            <w:r>
              <w:rPr>
                <w:rFonts w:hint="eastAsia" w:ascii="黑体" w:hAnsi="黑体" w:eastAsia="黑体"/>
                <w:sz w:val="24"/>
              </w:rPr>
              <w:t>肥水王</w:t>
            </w:r>
          </w:p>
        </w:tc>
        <w:tc>
          <w:tcPr>
            <w:tcW w:w="1662" w:type="dxa"/>
            <w:vAlign w:val="center"/>
          </w:tcPr>
          <w:p>
            <w:pPr>
              <w:jc w:val="center"/>
              <w:rPr>
                <w:rFonts w:ascii="黑体" w:hAnsi="黑体" w:eastAsia="黑体"/>
                <w:sz w:val="24"/>
              </w:rPr>
            </w:pPr>
            <w:r>
              <w:rPr>
                <w:rFonts w:hint="eastAsia" w:ascii="黑体" w:hAnsi="黑体" w:eastAsia="黑体"/>
                <w:sz w:val="24"/>
              </w:rPr>
              <w:t>包</w:t>
            </w:r>
          </w:p>
        </w:tc>
        <w:tc>
          <w:tcPr>
            <w:tcW w:w="2030" w:type="dxa"/>
            <w:vAlign w:val="center"/>
          </w:tcPr>
          <w:p>
            <w:pPr>
              <w:jc w:val="center"/>
              <w:rPr>
                <w:rFonts w:ascii="黑体" w:hAnsi="黑体" w:eastAsia="黑体"/>
                <w:sz w:val="24"/>
              </w:rPr>
            </w:pPr>
            <w:r>
              <w:rPr>
                <w:rFonts w:hint="eastAsia" w:ascii="黑体" w:hAnsi="黑体" w:eastAsia="黑体"/>
                <w:color w:val="000000"/>
                <w:sz w:val="24"/>
              </w:rPr>
              <w:t>包/</w:t>
            </w:r>
            <w:r>
              <w:rPr>
                <w:rFonts w:hint="eastAsia" w:ascii="黑体" w:hAnsi="黑体" w:eastAsia="黑体"/>
                <w:sz w:val="24"/>
              </w:rPr>
              <w:t>1</w:t>
            </w:r>
            <w:r>
              <w:rPr>
                <w:rFonts w:hint="eastAsia" w:ascii="黑体" w:hAnsi="黑体" w:eastAsia="黑体"/>
                <w:color w:val="000000"/>
                <w:sz w:val="24"/>
              </w:rPr>
              <w:t xml:space="preserve"> kg</w:t>
            </w:r>
          </w:p>
        </w:tc>
        <w:tc>
          <w:tcPr>
            <w:tcW w:w="2030" w:type="dxa"/>
            <w:vAlign w:val="center"/>
          </w:tcPr>
          <w:p>
            <w:pPr>
              <w:jc w:val="center"/>
              <w:rPr>
                <w:rFonts w:ascii="黑体" w:hAnsi="黑体" w:eastAsia="黑体"/>
                <w:sz w:val="24"/>
              </w:rPr>
            </w:pPr>
            <w:r>
              <w:rPr>
                <w:rFonts w:hint="eastAsia" w:ascii="黑体" w:hAnsi="黑体" w:eastAsia="黑体"/>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937" w:type="dxa"/>
            <w:vAlign w:val="center"/>
          </w:tcPr>
          <w:p>
            <w:pPr>
              <w:jc w:val="center"/>
              <w:rPr>
                <w:rFonts w:ascii="黑体" w:hAnsi="黑体" w:eastAsia="黑体"/>
                <w:sz w:val="24"/>
              </w:rPr>
            </w:pPr>
            <w:r>
              <w:rPr>
                <w:rFonts w:hint="eastAsia" w:ascii="黑体" w:hAnsi="黑体" w:eastAsia="黑体"/>
                <w:sz w:val="24"/>
              </w:rPr>
              <w:t>6</w:t>
            </w:r>
          </w:p>
        </w:tc>
        <w:tc>
          <w:tcPr>
            <w:tcW w:w="2401" w:type="dxa"/>
            <w:vAlign w:val="center"/>
          </w:tcPr>
          <w:p>
            <w:pPr>
              <w:jc w:val="center"/>
              <w:rPr>
                <w:rFonts w:ascii="黑体" w:hAnsi="黑体" w:eastAsia="黑体"/>
                <w:sz w:val="24"/>
              </w:rPr>
            </w:pPr>
            <w:r>
              <w:rPr>
                <w:rFonts w:hint="eastAsia" w:ascii="黑体" w:hAnsi="黑体" w:eastAsia="黑体"/>
                <w:sz w:val="24"/>
              </w:rPr>
              <w:t>酵素钙肥</w:t>
            </w:r>
          </w:p>
        </w:tc>
        <w:tc>
          <w:tcPr>
            <w:tcW w:w="1662" w:type="dxa"/>
            <w:vAlign w:val="center"/>
          </w:tcPr>
          <w:p>
            <w:pPr>
              <w:jc w:val="center"/>
              <w:rPr>
                <w:rFonts w:ascii="黑体" w:hAnsi="黑体" w:eastAsia="黑体"/>
                <w:sz w:val="24"/>
              </w:rPr>
            </w:pPr>
            <w:r>
              <w:rPr>
                <w:rFonts w:hint="eastAsia" w:ascii="黑体" w:hAnsi="黑体" w:eastAsia="黑体"/>
                <w:sz w:val="24"/>
              </w:rPr>
              <w:t>包</w:t>
            </w:r>
          </w:p>
        </w:tc>
        <w:tc>
          <w:tcPr>
            <w:tcW w:w="2030" w:type="dxa"/>
            <w:vAlign w:val="center"/>
          </w:tcPr>
          <w:p>
            <w:pPr>
              <w:jc w:val="center"/>
              <w:rPr>
                <w:rFonts w:ascii="黑体" w:hAnsi="黑体" w:eastAsia="黑体"/>
                <w:sz w:val="24"/>
              </w:rPr>
            </w:pPr>
            <w:r>
              <w:rPr>
                <w:rFonts w:hint="eastAsia" w:ascii="黑体" w:hAnsi="黑体" w:eastAsia="黑体"/>
                <w:color w:val="000000"/>
                <w:sz w:val="24"/>
              </w:rPr>
              <w:t>包/10 kg</w:t>
            </w:r>
          </w:p>
        </w:tc>
        <w:tc>
          <w:tcPr>
            <w:tcW w:w="2030" w:type="dxa"/>
            <w:vAlign w:val="center"/>
          </w:tcPr>
          <w:p>
            <w:pPr>
              <w:jc w:val="center"/>
              <w:rPr>
                <w:rFonts w:ascii="黑体" w:hAnsi="黑体" w:eastAsia="黑体"/>
                <w:sz w:val="24"/>
              </w:rPr>
            </w:pPr>
            <w:r>
              <w:rPr>
                <w:rFonts w:hint="eastAsia" w:ascii="黑体" w:hAnsi="黑体" w:eastAsia="黑体"/>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937" w:type="dxa"/>
            <w:vAlign w:val="center"/>
          </w:tcPr>
          <w:p>
            <w:pPr>
              <w:jc w:val="center"/>
              <w:rPr>
                <w:rFonts w:ascii="黑体" w:hAnsi="黑体" w:eastAsia="黑体"/>
                <w:sz w:val="24"/>
              </w:rPr>
            </w:pPr>
            <w:r>
              <w:rPr>
                <w:rFonts w:hint="eastAsia" w:ascii="黑体" w:hAnsi="黑体" w:eastAsia="黑体"/>
                <w:sz w:val="24"/>
              </w:rPr>
              <w:t>7</w:t>
            </w:r>
          </w:p>
        </w:tc>
        <w:tc>
          <w:tcPr>
            <w:tcW w:w="2401" w:type="dxa"/>
            <w:vAlign w:val="center"/>
          </w:tcPr>
          <w:p>
            <w:pPr>
              <w:jc w:val="center"/>
              <w:rPr>
                <w:rFonts w:ascii="黑体" w:hAnsi="黑体" w:eastAsia="黑体"/>
                <w:sz w:val="24"/>
              </w:rPr>
            </w:pPr>
            <w:r>
              <w:rPr>
                <w:rFonts w:hint="eastAsia" w:ascii="黑体" w:hAnsi="黑体" w:eastAsia="黑体"/>
                <w:sz w:val="24"/>
              </w:rPr>
              <w:t>粒粒神</w:t>
            </w:r>
          </w:p>
        </w:tc>
        <w:tc>
          <w:tcPr>
            <w:tcW w:w="1662" w:type="dxa"/>
            <w:vAlign w:val="center"/>
          </w:tcPr>
          <w:p>
            <w:pPr>
              <w:jc w:val="center"/>
              <w:rPr>
                <w:rFonts w:ascii="黑体" w:hAnsi="黑体" w:eastAsia="黑体"/>
                <w:sz w:val="24"/>
              </w:rPr>
            </w:pPr>
            <w:r>
              <w:rPr>
                <w:rFonts w:hint="eastAsia" w:ascii="黑体" w:hAnsi="黑体" w:eastAsia="黑体"/>
                <w:sz w:val="24"/>
              </w:rPr>
              <w:t>包</w:t>
            </w:r>
          </w:p>
        </w:tc>
        <w:tc>
          <w:tcPr>
            <w:tcW w:w="2030" w:type="dxa"/>
            <w:vAlign w:val="center"/>
          </w:tcPr>
          <w:p>
            <w:pPr>
              <w:jc w:val="center"/>
              <w:rPr>
                <w:rFonts w:ascii="黑体" w:hAnsi="黑体" w:eastAsia="黑体"/>
                <w:sz w:val="24"/>
              </w:rPr>
            </w:pPr>
            <w:r>
              <w:rPr>
                <w:rFonts w:hint="eastAsia" w:ascii="黑体" w:hAnsi="黑体" w:eastAsia="黑体"/>
                <w:color w:val="000000"/>
                <w:sz w:val="24"/>
              </w:rPr>
              <w:t>包/500 g</w:t>
            </w:r>
          </w:p>
        </w:tc>
        <w:tc>
          <w:tcPr>
            <w:tcW w:w="2030" w:type="dxa"/>
            <w:vAlign w:val="center"/>
          </w:tcPr>
          <w:p>
            <w:pPr>
              <w:jc w:val="center"/>
              <w:rPr>
                <w:rFonts w:ascii="黑体" w:hAnsi="黑体" w:eastAsia="黑体"/>
                <w:sz w:val="24"/>
              </w:rPr>
            </w:pPr>
            <w:r>
              <w:rPr>
                <w:rFonts w:hint="eastAsia" w:ascii="黑体" w:hAnsi="黑体" w:eastAsia="黑体"/>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937" w:type="dxa"/>
            <w:vAlign w:val="center"/>
          </w:tcPr>
          <w:p>
            <w:pPr>
              <w:jc w:val="center"/>
              <w:rPr>
                <w:rFonts w:ascii="黑体" w:hAnsi="黑体" w:eastAsia="黑体"/>
                <w:sz w:val="24"/>
              </w:rPr>
            </w:pPr>
            <w:r>
              <w:rPr>
                <w:rFonts w:hint="eastAsia" w:ascii="黑体" w:hAnsi="黑体" w:eastAsia="黑体"/>
                <w:sz w:val="24"/>
              </w:rPr>
              <w:t>8</w:t>
            </w:r>
          </w:p>
        </w:tc>
        <w:tc>
          <w:tcPr>
            <w:tcW w:w="2401" w:type="dxa"/>
            <w:vAlign w:val="center"/>
          </w:tcPr>
          <w:p>
            <w:pPr>
              <w:jc w:val="center"/>
              <w:rPr>
                <w:rFonts w:ascii="黑体" w:hAnsi="黑体" w:eastAsia="黑体"/>
                <w:sz w:val="24"/>
              </w:rPr>
            </w:pPr>
            <w:r>
              <w:rPr>
                <w:rFonts w:hint="eastAsia" w:ascii="黑体" w:hAnsi="黑体" w:eastAsia="黑体"/>
                <w:sz w:val="24"/>
              </w:rPr>
              <w:t>清源</w:t>
            </w:r>
          </w:p>
        </w:tc>
        <w:tc>
          <w:tcPr>
            <w:tcW w:w="1662" w:type="dxa"/>
            <w:vAlign w:val="center"/>
          </w:tcPr>
          <w:p>
            <w:pPr>
              <w:jc w:val="center"/>
              <w:rPr>
                <w:rFonts w:ascii="黑体" w:hAnsi="黑体" w:eastAsia="黑体"/>
                <w:sz w:val="24"/>
              </w:rPr>
            </w:pPr>
            <w:r>
              <w:rPr>
                <w:rFonts w:hint="eastAsia" w:ascii="黑体" w:hAnsi="黑体" w:eastAsia="黑体"/>
                <w:sz w:val="24"/>
              </w:rPr>
              <w:t>瓶</w:t>
            </w:r>
          </w:p>
        </w:tc>
        <w:tc>
          <w:tcPr>
            <w:tcW w:w="2030" w:type="dxa"/>
            <w:vAlign w:val="center"/>
          </w:tcPr>
          <w:p>
            <w:pPr>
              <w:jc w:val="center"/>
              <w:rPr>
                <w:rFonts w:ascii="黑体" w:hAnsi="黑体" w:eastAsia="黑体"/>
                <w:sz w:val="24"/>
              </w:rPr>
            </w:pPr>
            <w:r>
              <w:rPr>
                <w:rFonts w:hint="eastAsia" w:ascii="黑体" w:hAnsi="黑体" w:eastAsia="黑体"/>
                <w:color w:val="000000"/>
                <w:sz w:val="24"/>
              </w:rPr>
              <w:t>瓶/1 L</w:t>
            </w:r>
          </w:p>
        </w:tc>
        <w:tc>
          <w:tcPr>
            <w:tcW w:w="2030" w:type="dxa"/>
            <w:vAlign w:val="center"/>
          </w:tcPr>
          <w:p>
            <w:pPr>
              <w:jc w:val="center"/>
              <w:rPr>
                <w:rFonts w:ascii="黑体" w:hAnsi="黑体" w:eastAsia="黑体"/>
                <w:sz w:val="24"/>
              </w:rPr>
            </w:pPr>
            <w:r>
              <w:rPr>
                <w:rFonts w:hint="eastAsia" w:ascii="黑体" w:hAnsi="黑体" w:eastAsia="黑体"/>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937" w:type="dxa"/>
            <w:vAlign w:val="center"/>
          </w:tcPr>
          <w:p>
            <w:pPr>
              <w:jc w:val="center"/>
              <w:rPr>
                <w:rFonts w:ascii="黑体" w:hAnsi="黑体" w:eastAsia="黑体"/>
                <w:sz w:val="24"/>
              </w:rPr>
            </w:pPr>
            <w:r>
              <w:rPr>
                <w:rFonts w:hint="eastAsia" w:ascii="黑体" w:hAnsi="黑体" w:eastAsia="黑体"/>
                <w:sz w:val="24"/>
              </w:rPr>
              <w:t>9</w:t>
            </w:r>
          </w:p>
        </w:tc>
        <w:tc>
          <w:tcPr>
            <w:tcW w:w="2401" w:type="dxa"/>
            <w:vAlign w:val="center"/>
          </w:tcPr>
          <w:p>
            <w:pPr>
              <w:jc w:val="center"/>
              <w:rPr>
                <w:rFonts w:ascii="黑体" w:hAnsi="黑体" w:eastAsia="黑体"/>
                <w:sz w:val="24"/>
              </w:rPr>
            </w:pPr>
            <w:r>
              <w:rPr>
                <w:rFonts w:hint="eastAsia" w:ascii="黑体" w:hAnsi="黑体" w:eastAsia="黑体"/>
                <w:sz w:val="24"/>
              </w:rPr>
              <w:t>六抗培藻膏</w:t>
            </w:r>
          </w:p>
        </w:tc>
        <w:tc>
          <w:tcPr>
            <w:tcW w:w="1662" w:type="dxa"/>
            <w:vAlign w:val="center"/>
          </w:tcPr>
          <w:p>
            <w:pPr>
              <w:jc w:val="center"/>
              <w:rPr>
                <w:rFonts w:ascii="黑体" w:hAnsi="黑体" w:eastAsia="黑体"/>
                <w:sz w:val="24"/>
              </w:rPr>
            </w:pPr>
            <w:r>
              <w:rPr>
                <w:rFonts w:hint="eastAsia" w:ascii="黑体" w:hAnsi="黑体" w:eastAsia="黑体"/>
                <w:sz w:val="24"/>
              </w:rPr>
              <w:t>桶</w:t>
            </w:r>
          </w:p>
        </w:tc>
        <w:tc>
          <w:tcPr>
            <w:tcW w:w="2030" w:type="dxa"/>
            <w:vAlign w:val="center"/>
          </w:tcPr>
          <w:p>
            <w:pPr>
              <w:jc w:val="center"/>
              <w:rPr>
                <w:rFonts w:ascii="黑体" w:hAnsi="黑体" w:eastAsia="黑体"/>
                <w:sz w:val="24"/>
              </w:rPr>
            </w:pPr>
            <w:r>
              <w:rPr>
                <w:rFonts w:hint="eastAsia" w:ascii="黑体" w:hAnsi="黑体" w:eastAsia="黑体"/>
                <w:color w:val="000000"/>
                <w:sz w:val="24"/>
              </w:rPr>
              <w:t>桶/5 kg</w:t>
            </w:r>
          </w:p>
        </w:tc>
        <w:tc>
          <w:tcPr>
            <w:tcW w:w="2030" w:type="dxa"/>
            <w:vAlign w:val="center"/>
          </w:tcPr>
          <w:p>
            <w:pPr>
              <w:jc w:val="center"/>
              <w:rPr>
                <w:rFonts w:ascii="黑体" w:hAnsi="黑体" w:eastAsia="黑体"/>
                <w:sz w:val="24"/>
              </w:rPr>
            </w:pPr>
            <w:r>
              <w:rPr>
                <w:rFonts w:hint="eastAsia" w:ascii="黑体" w:hAnsi="黑体" w:eastAsia="黑体"/>
                <w:sz w:val="24"/>
              </w:rPr>
              <w:t>215</w:t>
            </w:r>
          </w:p>
        </w:tc>
      </w:tr>
    </w:tbl>
    <w:p>
      <w:pPr>
        <w:spacing w:line="540" w:lineRule="exact"/>
        <w:rPr>
          <w:rFonts w:asciiTheme="minorEastAsia" w:hAnsiTheme="minorEastAsia" w:eastAsiaTheme="minorEastAsia"/>
          <w:sz w:val="24"/>
        </w:rPr>
      </w:pPr>
      <w:r>
        <w:rPr>
          <w:rFonts w:hint="eastAsia" w:asciiTheme="minorEastAsia" w:hAnsiTheme="minorEastAsia" w:eastAsiaTheme="minorEastAsia"/>
          <w:sz w:val="24"/>
        </w:rPr>
        <w:t>备注：以上服务要求为必须满足条款，如不能响应的视为无效投标。</w:t>
      </w:r>
    </w:p>
    <w:p>
      <w:pPr>
        <w:spacing w:line="5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二、产品质量要求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1、本次询价采购项目的质量必须完全满足中华人民共和国国家质量标准及现行规范要求，投标人应根据企业实际能力在投标文件中对服务质量予以承诺，中标后在合同中加以确认。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三、交付时间及地点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1、合同签定后接采购人通知10天内完成项目所需的服务，直至交付采购人可以正常使用。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2、交付地点：长江大学动物科学学院（西校区5号教学楼8楼实验室）</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3、付款方式：</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货物送到甲方指定交付地点，对产品质量、数量无疑议后付合同金额的100%。</w:t>
      </w:r>
      <w:bookmarkEnd w:id="1"/>
    </w:p>
    <w:p>
      <w:pPr>
        <w:spacing w:line="580" w:lineRule="exact"/>
        <w:jc w:val="center"/>
        <w:rPr>
          <w:rFonts w:ascii="仿宋_GB2312" w:eastAsia="仿宋_GB2312"/>
          <w:b/>
          <w:bCs/>
          <w:kern w:val="44"/>
          <w:sz w:val="44"/>
          <w:szCs w:val="44"/>
        </w:rPr>
      </w:pPr>
      <w:bookmarkStart w:id="2" w:name="_GoBack"/>
      <w:bookmarkEnd w:id="2"/>
    </w:p>
    <w:sectPr>
      <w:footerReference r:id="rId4"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rPr>
        <w:rStyle w:val="18"/>
      </w:rPr>
      <w:instrText xml:space="preserve"> PAGE </w:instrText>
    </w:r>
    <w:r>
      <w:fldChar w:fldCharType="separate"/>
    </w:r>
    <w:r>
      <w:rPr>
        <w:rStyle w:val="18"/>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4286C"/>
    <w:rsid w:val="00047B85"/>
    <w:rsid w:val="00061FDC"/>
    <w:rsid w:val="0007216D"/>
    <w:rsid w:val="000936B8"/>
    <w:rsid w:val="000A2E4D"/>
    <w:rsid w:val="000B74AD"/>
    <w:rsid w:val="000C1650"/>
    <w:rsid w:val="000D6AAB"/>
    <w:rsid w:val="00172A27"/>
    <w:rsid w:val="00183C4E"/>
    <w:rsid w:val="001D251B"/>
    <w:rsid w:val="001E6B8C"/>
    <w:rsid w:val="00246FD1"/>
    <w:rsid w:val="0025556C"/>
    <w:rsid w:val="00280AA3"/>
    <w:rsid w:val="002A5A6B"/>
    <w:rsid w:val="002F07FE"/>
    <w:rsid w:val="002F78A8"/>
    <w:rsid w:val="00314B4D"/>
    <w:rsid w:val="00335DD4"/>
    <w:rsid w:val="0035009A"/>
    <w:rsid w:val="00354D00"/>
    <w:rsid w:val="003823D2"/>
    <w:rsid w:val="00394673"/>
    <w:rsid w:val="003A00AE"/>
    <w:rsid w:val="003D44C9"/>
    <w:rsid w:val="003D6649"/>
    <w:rsid w:val="003F634B"/>
    <w:rsid w:val="00403BFB"/>
    <w:rsid w:val="004347CF"/>
    <w:rsid w:val="00436503"/>
    <w:rsid w:val="00454B26"/>
    <w:rsid w:val="004B149D"/>
    <w:rsid w:val="004B5D9D"/>
    <w:rsid w:val="004D5850"/>
    <w:rsid w:val="004E0DED"/>
    <w:rsid w:val="005061DA"/>
    <w:rsid w:val="00530BB5"/>
    <w:rsid w:val="005533F5"/>
    <w:rsid w:val="00590DB3"/>
    <w:rsid w:val="005C5A3F"/>
    <w:rsid w:val="005D0B08"/>
    <w:rsid w:val="005E6C58"/>
    <w:rsid w:val="00612BF4"/>
    <w:rsid w:val="00620EB8"/>
    <w:rsid w:val="00631B08"/>
    <w:rsid w:val="006546D7"/>
    <w:rsid w:val="00661A62"/>
    <w:rsid w:val="00675B02"/>
    <w:rsid w:val="006B5A00"/>
    <w:rsid w:val="006C440C"/>
    <w:rsid w:val="006D0BC5"/>
    <w:rsid w:val="006E5801"/>
    <w:rsid w:val="007003A5"/>
    <w:rsid w:val="00700570"/>
    <w:rsid w:val="00744EBD"/>
    <w:rsid w:val="00746BCF"/>
    <w:rsid w:val="007524B9"/>
    <w:rsid w:val="00753B98"/>
    <w:rsid w:val="00791E7A"/>
    <w:rsid w:val="007B2438"/>
    <w:rsid w:val="007B2F37"/>
    <w:rsid w:val="007B4849"/>
    <w:rsid w:val="0081278C"/>
    <w:rsid w:val="008147DA"/>
    <w:rsid w:val="00860C13"/>
    <w:rsid w:val="008B58A8"/>
    <w:rsid w:val="00900584"/>
    <w:rsid w:val="009460DF"/>
    <w:rsid w:val="009551F7"/>
    <w:rsid w:val="00962CB8"/>
    <w:rsid w:val="00A21BD5"/>
    <w:rsid w:val="00A64E35"/>
    <w:rsid w:val="00A807D8"/>
    <w:rsid w:val="00AC4D6C"/>
    <w:rsid w:val="00B1194B"/>
    <w:rsid w:val="00B16C94"/>
    <w:rsid w:val="00B2677B"/>
    <w:rsid w:val="00B30F4F"/>
    <w:rsid w:val="00B97CDC"/>
    <w:rsid w:val="00BB24DF"/>
    <w:rsid w:val="00BB5379"/>
    <w:rsid w:val="00BC7408"/>
    <w:rsid w:val="00BF3B0A"/>
    <w:rsid w:val="00C47890"/>
    <w:rsid w:val="00CA4F08"/>
    <w:rsid w:val="00CC005F"/>
    <w:rsid w:val="00CF2239"/>
    <w:rsid w:val="00D00D54"/>
    <w:rsid w:val="00D00F51"/>
    <w:rsid w:val="00D34FB2"/>
    <w:rsid w:val="00D7654D"/>
    <w:rsid w:val="00D80043"/>
    <w:rsid w:val="00DA54CE"/>
    <w:rsid w:val="00DB1C30"/>
    <w:rsid w:val="00DD299E"/>
    <w:rsid w:val="00DD7125"/>
    <w:rsid w:val="00E22D63"/>
    <w:rsid w:val="00E31968"/>
    <w:rsid w:val="00E55CBF"/>
    <w:rsid w:val="00E83086"/>
    <w:rsid w:val="00E838BE"/>
    <w:rsid w:val="00E903AE"/>
    <w:rsid w:val="00E94A78"/>
    <w:rsid w:val="00EA6832"/>
    <w:rsid w:val="00EC2A29"/>
    <w:rsid w:val="00F03346"/>
    <w:rsid w:val="00F15042"/>
    <w:rsid w:val="00F17C9E"/>
    <w:rsid w:val="00F2699E"/>
    <w:rsid w:val="00F35E3D"/>
    <w:rsid w:val="00FA28E8"/>
    <w:rsid w:val="00FC02E8"/>
    <w:rsid w:val="00FF0156"/>
    <w:rsid w:val="2CE35965"/>
    <w:rsid w:val="35B331DA"/>
    <w:rsid w:val="6A5C1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qFormat/>
    <w:uiPriority w:val="0"/>
    <w:rPr>
      <w:b/>
      <w:bCs/>
    </w:rPr>
  </w:style>
  <w:style w:type="paragraph" w:styleId="5">
    <w:name w:val="annotation text"/>
    <w:basedOn w:val="1"/>
    <w:uiPriority w:val="0"/>
    <w:pPr>
      <w:jc w:val="left"/>
    </w:pPr>
  </w:style>
  <w:style w:type="paragraph" w:styleId="6">
    <w:name w:val="Normal Indent"/>
    <w:basedOn w:val="1"/>
    <w:link w:val="29"/>
    <w:uiPriority w:val="0"/>
    <w:pPr>
      <w:ind w:firstLine="420"/>
    </w:pPr>
    <w:rPr>
      <w:szCs w:val="20"/>
    </w:rPr>
  </w:style>
  <w:style w:type="paragraph" w:styleId="7">
    <w:name w:val="Body Text"/>
    <w:basedOn w:val="1"/>
    <w:uiPriority w:val="0"/>
    <w:pPr>
      <w:spacing w:after="120"/>
    </w:pPr>
    <w:rPr>
      <w:sz w:val="28"/>
    </w:r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Plain Text"/>
    <w:basedOn w:val="1"/>
    <w:link w:val="28"/>
    <w:uiPriority w:val="0"/>
    <w:rPr>
      <w:rFonts w:ascii="宋体" w:hAnsi="Courier New" w:cs="Courier New"/>
      <w:szCs w:val="21"/>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27"/>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page number"/>
    <w:basedOn w:val="17"/>
    <w:uiPriority w:val="0"/>
  </w:style>
  <w:style w:type="character" w:styleId="19">
    <w:name w:val="Hyperlink"/>
    <w:uiPriority w:val="0"/>
    <w:rPr>
      <w:color w:val="151515"/>
      <w:u w:val="none"/>
    </w:rPr>
  </w:style>
  <w:style w:type="character" w:styleId="20">
    <w:name w:val="annotation reference"/>
    <w:qFormat/>
    <w:uiPriority w:val="0"/>
    <w:rPr>
      <w:sz w:val="21"/>
      <w:szCs w:val="21"/>
    </w:rPr>
  </w:style>
  <w:style w:type="paragraph" w:customStyle="1" w:styleId="22">
    <w:name w:val="Char Char"/>
    <w:basedOn w:val="1"/>
    <w:qFormat/>
    <w:uiPriority w:val="0"/>
    <w:rPr>
      <w:rFonts w:ascii="Tahoma" w:hAnsi="Tahoma"/>
      <w:sz w:val="24"/>
      <w:szCs w:val="20"/>
    </w:rPr>
  </w:style>
  <w:style w:type="paragraph" w:customStyle="1" w:styleId="23">
    <w:name w:val="Char"/>
    <w:basedOn w:val="1"/>
    <w:uiPriority w:val="0"/>
    <w:rPr>
      <w:rFonts w:ascii="仿宋_GB2312" w:eastAsia="仿宋_GB2312"/>
      <w:b/>
      <w:sz w:val="32"/>
      <w:szCs w:val="32"/>
    </w:rPr>
  </w:style>
  <w:style w:type="paragraph" w:customStyle="1" w:styleId="24">
    <w:name w:val="排版"/>
    <w:basedOn w:val="1"/>
    <w:next w:val="7"/>
    <w:qFormat/>
    <w:uiPriority w:val="0"/>
    <w:pPr>
      <w:spacing w:line="600" w:lineRule="exact"/>
    </w:pPr>
    <w:rPr>
      <w:rFonts w:eastAsia="华文仿宋"/>
      <w:spacing w:val="6"/>
      <w:sz w:val="32"/>
    </w:rPr>
  </w:style>
  <w:style w:type="paragraph" w:customStyle="1" w:styleId="25">
    <w:name w:val="Char1"/>
    <w:basedOn w:val="1"/>
    <w:uiPriority w:val="0"/>
    <w:pPr>
      <w:tabs>
        <w:tab w:val="right" w:pos="-2120"/>
      </w:tabs>
      <w:snapToGrid w:val="0"/>
    </w:pPr>
  </w:style>
  <w:style w:type="paragraph" w:customStyle="1" w:styleId="26">
    <w:name w:val="列出段落1"/>
    <w:basedOn w:val="1"/>
    <w:qFormat/>
    <w:uiPriority w:val="34"/>
    <w:pPr>
      <w:ind w:firstLine="420" w:firstLineChars="200"/>
    </w:pPr>
  </w:style>
  <w:style w:type="character" w:customStyle="1" w:styleId="27">
    <w:name w:val="页眉 Char"/>
    <w:link w:val="12"/>
    <w:qFormat/>
    <w:uiPriority w:val="0"/>
    <w:rPr>
      <w:rFonts w:eastAsia="宋体"/>
      <w:kern w:val="2"/>
      <w:sz w:val="18"/>
      <w:szCs w:val="18"/>
      <w:lang w:val="en-US" w:eastAsia="zh-CN" w:bidi="ar-SA"/>
    </w:rPr>
  </w:style>
  <w:style w:type="character" w:customStyle="1" w:styleId="28">
    <w:name w:val="纯文本 Char"/>
    <w:link w:val="9"/>
    <w:qFormat/>
    <w:uiPriority w:val="0"/>
    <w:rPr>
      <w:rFonts w:ascii="宋体" w:hAnsi="Courier New" w:eastAsia="宋体" w:cs="Courier New"/>
      <w:kern w:val="2"/>
      <w:sz w:val="21"/>
      <w:szCs w:val="21"/>
      <w:lang w:val="en-US" w:eastAsia="zh-CN" w:bidi="ar-SA"/>
    </w:rPr>
  </w:style>
  <w:style w:type="character" w:customStyle="1" w:styleId="29">
    <w:name w:val="正文缩进 Char"/>
    <w:link w:val="6"/>
    <w:qFormat/>
    <w:uiPriority w:val="0"/>
    <w:rPr>
      <w:rFonts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467229-A40B-461A-8409-BD5E6F75381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217</Words>
  <Characters>1241</Characters>
  <Lines>10</Lines>
  <Paragraphs>2</Paragraphs>
  <ScaleCrop>false</ScaleCrop>
  <LinksUpToDate>false</LinksUpToDate>
  <CharactersWithSpaces>1456</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2017-12-12T02:57:00Z</dcterms:created>
  <dc:creator>微软用户</dc:creator>
  <cp:lastModifiedBy>飘渺/轻舞</cp:lastModifiedBy>
  <cp:lastPrinted>2016-11-28T08:13:00Z</cp:lastPrinted>
  <dcterms:modified xsi:type="dcterms:W3CDTF">2017-12-12T09:37:20Z</dcterms:modified>
  <dc:title>湖北省省级政府采购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